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AE59B" w14:textId="6DA0C371" w:rsidR="00732541" w:rsidRPr="00251B6E" w:rsidRDefault="00732541" w:rsidP="00732541">
      <w:pPr>
        <w:jc w:val="right"/>
        <w:rPr>
          <w:rFonts w:cstheme="minorHAnsi"/>
          <w:b/>
        </w:rPr>
      </w:pPr>
      <w:r w:rsidRPr="00251B6E">
        <w:rPr>
          <w:rFonts w:cstheme="minorHAnsi"/>
          <w:b/>
        </w:rPr>
        <w:t>Załącznik nr</w:t>
      </w:r>
      <w:r w:rsidR="004D1982" w:rsidRPr="00251B6E">
        <w:rPr>
          <w:rFonts w:cstheme="minorHAnsi"/>
          <w:b/>
        </w:rPr>
        <w:t xml:space="preserve"> </w:t>
      </w:r>
      <w:r w:rsidR="00EB4D57">
        <w:rPr>
          <w:rFonts w:cstheme="minorHAnsi"/>
          <w:b/>
        </w:rPr>
        <w:t>6</w:t>
      </w:r>
      <w:bookmarkStart w:id="0" w:name="_GoBack"/>
      <w:bookmarkEnd w:id="0"/>
      <w:r w:rsidRPr="00251B6E">
        <w:rPr>
          <w:rFonts w:cstheme="minorHAnsi"/>
          <w:b/>
        </w:rPr>
        <w:t xml:space="preserve"> do SIWZ</w:t>
      </w:r>
    </w:p>
    <w:p w14:paraId="5C28BDF9" w14:textId="77777777" w:rsidR="00732541" w:rsidRDefault="00732541" w:rsidP="00732541">
      <w:pPr>
        <w:jc w:val="center"/>
        <w:rPr>
          <w:rFonts w:cstheme="minorHAnsi"/>
          <w:b/>
          <w:sz w:val="24"/>
          <w:szCs w:val="24"/>
        </w:rPr>
      </w:pPr>
    </w:p>
    <w:p w14:paraId="152D566D" w14:textId="1B21B375" w:rsidR="00732541" w:rsidRPr="00732541" w:rsidRDefault="00732541" w:rsidP="00732541">
      <w:pPr>
        <w:jc w:val="center"/>
        <w:rPr>
          <w:rFonts w:cstheme="minorHAnsi"/>
          <w:b/>
          <w:sz w:val="24"/>
          <w:szCs w:val="24"/>
        </w:rPr>
      </w:pPr>
      <w:r w:rsidRPr="00732541">
        <w:rPr>
          <w:rFonts w:cstheme="minorHAnsi"/>
          <w:b/>
          <w:sz w:val="24"/>
          <w:szCs w:val="24"/>
        </w:rPr>
        <w:t>Szczegółowy zakres i opis przedmiotu zamówienia (SOPZ</w:t>
      </w:r>
      <w:r w:rsidR="00DA584A">
        <w:rPr>
          <w:rFonts w:cstheme="minorHAnsi"/>
          <w:b/>
          <w:sz w:val="24"/>
          <w:szCs w:val="24"/>
        </w:rPr>
        <w:t>)</w:t>
      </w:r>
    </w:p>
    <w:p w14:paraId="09AED70F" w14:textId="5CFBEC66" w:rsidR="00732541" w:rsidRDefault="00732541" w:rsidP="00F20FC7">
      <w:pPr>
        <w:rPr>
          <w:rFonts w:cstheme="minorHAnsi"/>
          <w:bCs/>
        </w:rPr>
      </w:pPr>
    </w:p>
    <w:p w14:paraId="47A8F7EC" w14:textId="77777777" w:rsidR="00700315" w:rsidRPr="00732541" w:rsidRDefault="00700315" w:rsidP="00F20FC7">
      <w:pPr>
        <w:rPr>
          <w:rFonts w:cstheme="minorHAnsi"/>
          <w:bCs/>
        </w:rPr>
      </w:pPr>
    </w:p>
    <w:p w14:paraId="651879ED" w14:textId="06EE296A" w:rsidR="00F20FC7" w:rsidRPr="00F212CF" w:rsidRDefault="00F212CF" w:rsidP="00F20FC7">
      <w:pPr>
        <w:rPr>
          <w:rFonts w:cstheme="minorHAnsi"/>
          <w:b/>
        </w:rPr>
      </w:pPr>
      <w:r w:rsidRPr="00F212CF">
        <w:rPr>
          <w:rFonts w:cstheme="minorHAnsi"/>
          <w:b/>
        </w:rPr>
        <w:t xml:space="preserve">1. </w:t>
      </w:r>
      <w:r w:rsidR="00654C4F" w:rsidRPr="00F212CF">
        <w:rPr>
          <w:rFonts w:cstheme="minorHAnsi"/>
          <w:b/>
        </w:rPr>
        <w:t>Przedmiot zamówienia obejmuje dostawę następujących przedmiotów</w:t>
      </w:r>
      <w:r w:rsidR="00F20FC7" w:rsidRPr="00F212CF">
        <w:rPr>
          <w:rFonts w:cstheme="minorHAnsi"/>
          <w:b/>
        </w:rPr>
        <w:t>:</w:t>
      </w:r>
    </w:p>
    <w:p w14:paraId="636FC399" w14:textId="77777777" w:rsidR="00F20FC7" w:rsidRPr="00732541" w:rsidRDefault="00F20FC7" w:rsidP="00F20FC7">
      <w:pPr>
        <w:pStyle w:val="Akapitzlist"/>
        <w:rPr>
          <w:rFonts w:cstheme="minorHAnsi"/>
          <w:bCs/>
        </w:rPr>
      </w:pPr>
    </w:p>
    <w:p w14:paraId="2C78D9F6" w14:textId="69D9D6F6" w:rsidR="00430402" w:rsidRPr="00732541" w:rsidRDefault="00430402" w:rsidP="00CE3679">
      <w:pPr>
        <w:pStyle w:val="Akapitzlist"/>
        <w:numPr>
          <w:ilvl w:val="0"/>
          <w:numId w:val="20"/>
        </w:numPr>
        <w:rPr>
          <w:rFonts w:cstheme="minorHAnsi"/>
          <w:bCs/>
        </w:rPr>
      </w:pPr>
      <w:r w:rsidRPr="00732541">
        <w:rPr>
          <w:rFonts w:cstheme="minorHAnsi"/>
          <w:bCs/>
        </w:rPr>
        <w:t>Gablota zabudowana w ścianie. Wymiary - 2000x350x1000 mm. 1 sztuka :</w:t>
      </w:r>
    </w:p>
    <w:p w14:paraId="7CA44C61" w14:textId="5C179A5F" w:rsidR="00430402" w:rsidRPr="00732541" w:rsidRDefault="00430402" w:rsidP="00D71F97">
      <w:pPr>
        <w:rPr>
          <w:rFonts w:asciiTheme="minorHAnsi" w:hAnsiTheme="minorHAnsi" w:cstheme="minorHAnsi"/>
          <w:bCs/>
        </w:rPr>
      </w:pPr>
    </w:p>
    <w:p w14:paraId="1ADC7175" w14:textId="064ECEB6" w:rsidR="00430402" w:rsidRPr="00732541" w:rsidRDefault="00430402" w:rsidP="00CE3679">
      <w:pPr>
        <w:pStyle w:val="Akapitzlist"/>
        <w:numPr>
          <w:ilvl w:val="0"/>
          <w:numId w:val="20"/>
        </w:numPr>
        <w:rPr>
          <w:rFonts w:cstheme="minorHAnsi"/>
          <w:bCs/>
        </w:rPr>
      </w:pPr>
      <w:r w:rsidRPr="00732541">
        <w:rPr>
          <w:rFonts w:cstheme="minorHAnsi"/>
          <w:bCs/>
        </w:rPr>
        <w:t>Gablota zabudowana w ścianie. Wymiary - 4000x350x1000 mm. 1 sztuka :</w:t>
      </w:r>
    </w:p>
    <w:p w14:paraId="108A0B34" w14:textId="77777777" w:rsidR="00430402" w:rsidRPr="00732541" w:rsidRDefault="00430402" w:rsidP="00D71F97">
      <w:pPr>
        <w:rPr>
          <w:rFonts w:asciiTheme="minorHAnsi" w:hAnsiTheme="minorHAnsi" w:cstheme="minorHAnsi"/>
          <w:bCs/>
        </w:rPr>
      </w:pPr>
    </w:p>
    <w:p w14:paraId="0E7F2260" w14:textId="5ACA739C" w:rsidR="00430402" w:rsidRPr="00732541" w:rsidRDefault="00430402" w:rsidP="00CE3679">
      <w:pPr>
        <w:pStyle w:val="Akapitzlist"/>
        <w:numPr>
          <w:ilvl w:val="0"/>
          <w:numId w:val="20"/>
        </w:numPr>
        <w:rPr>
          <w:rFonts w:cstheme="minorHAnsi"/>
          <w:bCs/>
        </w:rPr>
      </w:pPr>
      <w:r w:rsidRPr="00732541">
        <w:rPr>
          <w:rFonts w:cstheme="minorHAnsi"/>
          <w:bCs/>
        </w:rPr>
        <w:t>Gablota zabudowana w ścianie. Wymiary - 1000x350x1000 mm. 2 sztuki :</w:t>
      </w:r>
    </w:p>
    <w:p w14:paraId="18069D01" w14:textId="62802087" w:rsidR="00430402" w:rsidRPr="00732541" w:rsidRDefault="00430402" w:rsidP="00D71F97">
      <w:pPr>
        <w:rPr>
          <w:rFonts w:asciiTheme="minorHAnsi" w:hAnsiTheme="minorHAnsi" w:cstheme="minorHAnsi"/>
          <w:bCs/>
        </w:rPr>
      </w:pPr>
    </w:p>
    <w:p w14:paraId="686CCC09" w14:textId="13A96412" w:rsidR="00430402" w:rsidRPr="00732541" w:rsidRDefault="00430402" w:rsidP="00CE3679">
      <w:pPr>
        <w:pStyle w:val="Akapitzlist"/>
        <w:numPr>
          <w:ilvl w:val="0"/>
          <w:numId w:val="20"/>
        </w:numPr>
        <w:rPr>
          <w:rFonts w:cstheme="minorHAnsi"/>
          <w:bCs/>
        </w:rPr>
      </w:pPr>
      <w:r w:rsidRPr="00732541">
        <w:rPr>
          <w:rFonts w:cstheme="minorHAnsi"/>
          <w:bCs/>
        </w:rPr>
        <w:t>Gablota naścienna wisząca. Wymiary - 1350x1350x350 mm. 1 sztuka :</w:t>
      </w:r>
    </w:p>
    <w:p w14:paraId="512B12CE" w14:textId="7C7D442C" w:rsidR="00430402" w:rsidRPr="00732541" w:rsidRDefault="00430402" w:rsidP="00D71F97">
      <w:pPr>
        <w:rPr>
          <w:rFonts w:asciiTheme="minorHAnsi" w:hAnsiTheme="minorHAnsi" w:cstheme="minorHAnsi"/>
          <w:bCs/>
        </w:rPr>
      </w:pPr>
    </w:p>
    <w:p w14:paraId="6CAD35EE" w14:textId="3E0BF9BF" w:rsidR="00430402" w:rsidRPr="00732541" w:rsidRDefault="00430402" w:rsidP="00CE3679">
      <w:pPr>
        <w:pStyle w:val="Akapitzlist"/>
        <w:numPr>
          <w:ilvl w:val="0"/>
          <w:numId w:val="20"/>
        </w:numPr>
        <w:rPr>
          <w:rFonts w:cstheme="minorHAnsi"/>
          <w:bCs/>
        </w:rPr>
      </w:pPr>
      <w:r w:rsidRPr="00732541">
        <w:rPr>
          <w:rFonts w:cstheme="minorHAnsi"/>
          <w:bCs/>
        </w:rPr>
        <w:t>Gablota naścienna wisząca. Wymiary - 1500x1000x350 mm. 4 sztuki :</w:t>
      </w:r>
    </w:p>
    <w:p w14:paraId="222505EB" w14:textId="0160C0CC" w:rsidR="00430402" w:rsidRPr="00732541" w:rsidRDefault="00430402" w:rsidP="00D71F97">
      <w:pPr>
        <w:rPr>
          <w:rFonts w:asciiTheme="minorHAnsi" w:hAnsiTheme="minorHAnsi" w:cstheme="minorHAnsi"/>
          <w:bCs/>
        </w:rPr>
      </w:pPr>
    </w:p>
    <w:p w14:paraId="5BC48853" w14:textId="647B8A30" w:rsidR="00430402" w:rsidRPr="00732541" w:rsidRDefault="00430402" w:rsidP="00CE3679">
      <w:pPr>
        <w:pStyle w:val="Akapitzlist"/>
        <w:numPr>
          <w:ilvl w:val="0"/>
          <w:numId w:val="20"/>
        </w:numPr>
        <w:rPr>
          <w:rFonts w:cstheme="minorHAnsi"/>
          <w:bCs/>
        </w:rPr>
      </w:pPr>
      <w:r w:rsidRPr="00732541">
        <w:rPr>
          <w:rFonts w:cstheme="minorHAnsi"/>
          <w:bCs/>
        </w:rPr>
        <w:t>Gablota naścienna wisząca. Wymiary - 2000x1000x350 mm. 3 sztuki :</w:t>
      </w:r>
    </w:p>
    <w:p w14:paraId="77D0FCF7" w14:textId="6967460B" w:rsidR="00430402" w:rsidRPr="00732541" w:rsidRDefault="00430402" w:rsidP="00D71F97">
      <w:pPr>
        <w:rPr>
          <w:rFonts w:asciiTheme="minorHAnsi" w:hAnsiTheme="minorHAnsi" w:cstheme="minorHAnsi"/>
          <w:bCs/>
        </w:rPr>
      </w:pPr>
    </w:p>
    <w:p w14:paraId="0052FA19" w14:textId="7931AE56" w:rsidR="00430402" w:rsidRPr="00732541" w:rsidRDefault="00430402" w:rsidP="00CE3679">
      <w:pPr>
        <w:pStyle w:val="Akapitzlist"/>
        <w:numPr>
          <w:ilvl w:val="0"/>
          <w:numId w:val="20"/>
        </w:numPr>
        <w:rPr>
          <w:rFonts w:cstheme="minorHAnsi"/>
          <w:bCs/>
        </w:rPr>
      </w:pPr>
      <w:r w:rsidRPr="00732541">
        <w:rPr>
          <w:rFonts w:cstheme="minorHAnsi"/>
          <w:bCs/>
        </w:rPr>
        <w:t>Gablota przyścienna z zabudowaną tylną ścianą. Wymiary - 900x500x2000 mm. 3 sztuki :</w:t>
      </w:r>
    </w:p>
    <w:p w14:paraId="6BA5E946" w14:textId="77777777" w:rsidR="00430402" w:rsidRPr="00732541" w:rsidRDefault="00430402" w:rsidP="00D71F97">
      <w:pPr>
        <w:rPr>
          <w:rFonts w:asciiTheme="minorHAnsi" w:hAnsiTheme="minorHAnsi" w:cstheme="minorHAnsi"/>
          <w:bCs/>
        </w:rPr>
      </w:pPr>
    </w:p>
    <w:p w14:paraId="39F7079C" w14:textId="608AEB4A" w:rsidR="00430402" w:rsidRPr="00732541" w:rsidRDefault="00430402" w:rsidP="00CE3679">
      <w:pPr>
        <w:pStyle w:val="Akapitzlist"/>
        <w:numPr>
          <w:ilvl w:val="0"/>
          <w:numId w:val="20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Gablota przyścienna z zabudowaną tylną ścianą. Wymiary - 1500x500x2000 mm. 1 sztuka :  </w:t>
      </w:r>
    </w:p>
    <w:p w14:paraId="636489CD" w14:textId="230768EC" w:rsidR="00430402" w:rsidRPr="00732541" w:rsidRDefault="00430402" w:rsidP="00D71F97">
      <w:pPr>
        <w:rPr>
          <w:rFonts w:asciiTheme="minorHAnsi" w:hAnsiTheme="minorHAnsi" w:cstheme="minorHAnsi"/>
          <w:bCs/>
        </w:rPr>
      </w:pPr>
    </w:p>
    <w:p w14:paraId="6E50EB57" w14:textId="3569F5F6" w:rsidR="00430402" w:rsidRPr="00732541" w:rsidRDefault="00430402" w:rsidP="00CE3679">
      <w:pPr>
        <w:pStyle w:val="Akapitzlist"/>
        <w:numPr>
          <w:ilvl w:val="0"/>
          <w:numId w:val="20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Gablota postumentowa (klosz). Wymiary – 500x500x800x350 mm. 5 sztuk. </w:t>
      </w:r>
    </w:p>
    <w:p w14:paraId="663AAC60" w14:textId="2FE12D90" w:rsidR="00430402" w:rsidRPr="00732541" w:rsidRDefault="00430402" w:rsidP="00D71F97">
      <w:pPr>
        <w:rPr>
          <w:rFonts w:asciiTheme="minorHAnsi" w:hAnsiTheme="minorHAnsi" w:cstheme="minorHAnsi"/>
          <w:bCs/>
        </w:rPr>
      </w:pPr>
    </w:p>
    <w:p w14:paraId="6C9DB3AB" w14:textId="400AD2FA" w:rsidR="00251F0B" w:rsidRPr="00F212CF" w:rsidRDefault="00F212CF" w:rsidP="00D71F9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251F0B" w:rsidRPr="00F212CF">
        <w:rPr>
          <w:rFonts w:asciiTheme="minorHAnsi" w:hAnsiTheme="minorHAnsi" w:cstheme="minorHAnsi"/>
          <w:b/>
        </w:rPr>
        <w:t>Wymogi techniczne:</w:t>
      </w:r>
    </w:p>
    <w:p w14:paraId="19A5FDD3" w14:textId="77777777" w:rsidR="00251F0B" w:rsidRPr="00732541" w:rsidRDefault="00251F0B" w:rsidP="00D71F97">
      <w:pPr>
        <w:rPr>
          <w:rFonts w:asciiTheme="minorHAnsi" w:hAnsiTheme="minorHAnsi" w:cstheme="minorHAnsi"/>
          <w:bCs/>
        </w:rPr>
      </w:pPr>
    </w:p>
    <w:p w14:paraId="361900CB" w14:textId="64774CD0" w:rsidR="00060196" w:rsidRPr="00732541" w:rsidRDefault="00251F0B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 xml:space="preserve">Gabloty zabudowane: </w:t>
      </w:r>
    </w:p>
    <w:p w14:paraId="413296CA" w14:textId="77777777" w:rsidR="00060196" w:rsidRPr="00732541" w:rsidRDefault="00060196" w:rsidP="00060196">
      <w:pPr>
        <w:rPr>
          <w:rFonts w:asciiTheme="minorHAnsi" w:hAnsiTheme="minorHAnsi" w:cstheme="minorHAnsi"/>
          <w:bCs/>
        </w:rPr>
      </w:pPr>
    </w:p>
    <w:p w14:paraId="43E4DDDB" w14:textId="77777777" w:rsidR="00251F0B" w:rsidRPr="00732541" w:rsidRDefault="00060196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 xml:space="preserve">Szkielet nośny </w:t>
      </w:r>
      <w:r w:rsidR="00251F0B" w:rsidRPr="00732541">
        <w:rPr>
          <w:rFonts w:asciiTheme="minorHAnsi" w:hAnsiTheme="minorHAnsi" w:cstheme="minorHAnsi"/>
          <w:bCs/>
        </w:rPr>
        <w:t>-</w:t>
      </w:r>
      <w:r w:rsidRPr="00732541">
        <w:rPr>
          <w:rFonts w:asciiTheme="minorHAnsi" w:hAnsiTheme="minorHAnsi" w:cstheme="minorHAnsi"/>
          <w:bCs/>
        </w:rPr>
        <w:t xml:space="preserve"> stalowa rama nośna malowana proszkowo. </w:t>
      </w:r>
    </w:p>
    <w:p w14:paraId="7DF2EC8A" w14:textId="77777777" w:rsidR="00251F0B" w:rsidRPr="00732541" w:rsidRDefault="00060196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 xml:space="preserve">Boki oraz drzwi gabloty </w:t>
      </w:r>
      <w:r w:rsidR="00251F0B" w:rsidRPr="00732541">
        <w:rPr>
          <w:rFonts w:asciiTheme="minorHAnsi" w:hAnsiTheme="minorHAnsi" w:cstheme="minorHAnsi"/>
          <w:bCs/>
        </w:rPr>
        <w:t xml:space="preserve">- </w:t>
      </w:r>
      <w:r w:rsidRPr="00732541">
        <w:rPr>
          <w:rFonts w:asciiTheme="minorHAnsi" w:hAnsiTheme="minorHAnsi" w:cstheme="minorHAnsi"/>
          <w:bCs/>
        </w:rPr>
        <w:t xml:space="preserve">szkło laminowane bezpieczne 55.4 (o grubości 11,6mm). </w:t>
      </w:r>
    </w:p>
    <w:p w14:paraId="4394B445" w14:textId="77777777" w:rsidR="00251F0B" w:rsidRPr="00732541" w:rsidRDefault="00060196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 xml:space="preserve">Krawędzie łączenia szkła zacinane są pod kątem 45°, krawędzie szlifowane. </w:t>
      </w:r>
    </w:p>
    <w:p w14:paraId="2FAA30B5" w14:textId="77777777" w:rsidR="00251F0B" w:rsidRPr="00732541" w:rsidRDefault="00060196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 xml:space="preserve">Szkło klejone do stelaża aluminiowego przy pomocy neutralnego chemicznie kleju. </w:t>
      </w:r>
    </w:p>
    <w:p w14:paraId="2816FF59" w14:textId="77777777" w:rsidR="00F20FC7" w:rsidRPr="00732541" w:rsidRDefault="00060196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>Konstrukcj</w:t>
      </w:r>
      <w:r w:rsidR="00251F0B" w:rsidRPr="00732541">
        <w:rPr>
          <w:rFonts w:asciiTheme="minorHAnsi" w:hAnsiTheme="minorHAnsi" w:cstheme="minorHAnsi"/>
          <w:bCs/>
        </w:rPr>
        <w:t>a</w:t>
      </w:r>
      <w:r w:rsidRPr="00732541">
        <w:rPr>
          <w:rFonts w:asciiTheme="minorHAnsi" w:hAnsiTheme="minorHAnsi" w:cstheme="minorHAnsi"/>
          <w:bCs/>
        </w:rPr>
        <w:t xml:space="preserve"> nośn</w:t>
      </w:r>
      <w:r w:rsidR="00251F0B" w:rsidRPr="00732541">
        <w:rPr>
          <w:rFonts w:asciiTheme="minorHAnsi" w:hAnsiTheme="minorHAnsi" w:cstheme="minorHAnsi"/>
          <w:bCs/>
        </w:rPr>
        <w:t xml:space="preserve">a </w:t>
      </w:r>
      <w:r w:rsidRPr="00732541">
        <w:rPr>
          <w:rFonts w:asciiTheme="minorHAnsi" w:hAnsiTheme="minorHAnsi" w:cstheme="minorHAnsi"/>
          <w:bCs/>
        </w:rPr>
        <w:t xml:space="preserve">dla stelaża aluminiowego </w:t>
      </w:r>
      <w:r w:rsidR="00251F0B" w:rsidRPr="00732541">
        <w:rPr>
          <w:rFonts w:asciiTheme="minorHAnsi" w:hAnsiTheme="minorHAnsi" w:cstheme="minorHAnsi"/>
          <w:bCs/>
        </w:rPr>
        <w:t>-</w:t>
      </w:r>
      <w:r w:rsidRPr="00732541">
        <w:rPr>
          <w:rFonts w:asciiTheme="minorHAnsi" w:hAnsiTheme="minorHAnsi" w:cstheme="minorHAnsi"/>
          <w:bCs/>
        </w:rPr>
        <w:t xml:space="preserve"> ramy wieńca dolnego i górnego, wykonane z profili i blach stalowych oraz aluminiowych o grubości 2-3mm, spawanych lub skręcanych, malowanych proszkowo. </w:t>
      </w:r>
    </w:p>
    <w:p w14:paraId="4020A43F" w14:textId="1CD3552E" w:rsidR="00251F0B" w:rsidRPr="00732541" w:rsidRDefault="00060196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 xml:space="preserve">Ramy wieńca dolnego i górnego połączone za pomocą profili stalowych do których mocowane są blachy aluminiowe malowane proszkowo. </w:t>
      </w:r>
      <w:r w:rsidR="00F20FC7" w:rsidRPr="00732541">
        <w:rPr>
          <w:rFonts w:asciiTheme="minorHAnsi" w:hAnsiTheme="minorHAnsi" w:cstheme="minorHAnsi"/>
          <w:bCs/>
        </w:rPr>
        <w:t>Brak możliwości</w:t>
      </w:r>
      <w:r w:rsidRPr="00732541">
        <w:rPr>
          <w:rFonts w:asciiTheme="minorHAnsi" w:hAnsiTheme="minorHAnsi" w:cstheme="minorHAnsi"/>
          <w:bCs/>
        </w:rPr>
        <w:t xml:space="preserve"> stosowania profili aluminiowych wzdłuż pionowych krawędzi tafli szklanych. Wzdłuż krawędzi utworzonej przez boczne tafle szklane i drzwi </w:t>
      </w:r>
      <w:r w:rsidR="00251F0B" w:rsidRPr="00732541">
        <w:rPr>
          <w:rFonts w:asciiTheme="minorHAnsi" w:hAnsiTheme="minorHAnsi" w:cstheme="minorHAnsi"/>
          <w:bCs/>
        </w:rPr>
        <w:t>-</w:t>
      </w:r>
      <w:r w:rsidR="00F20FC7" w:rsidRPr="00732541">
        <w:rPr>
          <w:rFonts w:asciiTheme="minorHAnsi" w:hAnsiTheme="minorHAnsi" w:cstheme="minorHAnsi"/>
          <w:bCs/>
        </w:rPr>
        <w:t xml:space="preserve"> zamontowana</w:t>
      </w:r>
      <w:r w:rsidR="00251F0B" w:rsidRPr="00732541">
        <w:rPr>
          <w:rFonts w:asciiTheme="minorHAnsi" w:hAnsiTheme="minorHAnsi" w:cstheme="minorHAnsi"/>
          <w:bCs/>
        </w:rPr>
        <w:t xml:space="preserve"> </w:t>
      </w:r>
      <w:r w:rsidRPr="00732541">
        <w:rPr>
          <w:rFonts w:asciiTheme="minorHAnsi" w:hAnsiTheme="minorHAnsi" w:cstheme="minorHAnsi"/>
          <w:bCs/>
        </w:rPr>
        <w:t xml:space="preserve">silikonowa uszczelka. </w:t>
      </w:r>
    </w:p>
    <w:p w14:paraId="4CCF9714" w14:textId="14A17B86" w:rsidR="00060196" w:rsidRPr="00732541" w:rsidRDefault="00060196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 xml:space="preserve">Pozostałe krawędzie utworzone są przez boczne tafle szklane klejone neutralnym chemicznie silikonem bezbarwnym. </w:t>
      </w:r>
      <w:r w:rsidR="00251F0B" w:rsidRPr="00732541">
        <w:rPr>
          <w:rFonts w:asciiTheme="minorHAnsi" w:hAnsiTheme="minorHAnsi" w:cstheme="minorHAnsi"/>
          <w:bCs/>
        </w:rPr>
        <w:t>U</w:t>
      </w:r>
      <w:r w:rsidRPr="00732541">
        <w:rPr>
          <w:rFonts w:asciiTheme="minorHAnsi" w:hAnsiTheme="minorHAnsi" w:cstheme="minorHAnsi"/>
          <w:bCs/>
        </w:rPr>
        <w:t>szczelki zapewniają oczekiwan</w:t>
      </w:r>
      <w:r w:rsidR="00F20FC7" w:rsidRPr="00732541">
        <w:rPr>
          <w:rFonts w:asciiTheme="minorHAnsi" w:hAnsiTheme="minorHAnsi" w:cstheme="minorHAnsi"/>
          <w:bCs/>
        </w:rPr>
        <w:t>ą</w:t>
      </w:r>
      <w:r w:rsidRPr="00732541">
        <w:rPr>
          <w:rFonts w:asciiTheme="minorHAnsi" w:hAnsiTheme="minorHAnsi" w:cstheme="minorHAnsi"/>
          <w:bCs/>
        </w:rPr>
        <w:t xml:space="preserve"> wymian</w:t>
      </w:r>
      <w:r w:rsidR="00F20FC7" w:rsidRPr="00732541">
        <w:rPr>
          <w:rFonts w:asciiTheme="minorHAnsi" w:hAnsiTheme="minorHAnsi" w:cstheme="minorHAnsi"/>
          <w:bCs/>
        </w:rPr>
        <w:t>ę</w:t>
      </w:r>
      <w:r w:rsidRPr="00732541">
        <w:rPr>
          <w:rFonts w:asciiTheme="minorHAnsi" w:hAnsiTheme="minorHAnsi" w:cstheme="minorHAnsi"/>
          <w:bCs/>
        </w:rPr>
        <w:t xml:space="preserve"> powietrza pomiędzy wnętrzem gabloty, a otoczeniem.</w:t>
      </w:r>
    </w:p>
    <w:p w14:paraId="4A04D52A" w14:textId="77777777" w:rsidR="00251F0B" w:rsidRPr="00732541" w:rsidRDefault="00060196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 xml:space="preserve">Elementy szklane korpusu gabloty mocowane do profili nośnych górnych i dolnych, </w:t>
      </w:r>
      <w:r w:rsidR="00251F0B" w:rsidRPr="00732541">
        <w:rPr>
          <w:rFonts w:asciiTheme="minorHAnsi" w:hAnsiTheme="minorHAnsi" w:cstheme="minorHAnsi"/>
          <w:bCs/>
        </w:rPr>
        <w:t>tak</w:t>
      </w:r>
      <w:r w:rsidRPr="00732541">
        <w:rPr>
          <w:rFonts w:asciiTheme="minorHAnsi" w:hAnsiTheme="minorHAnsi" w:cstheme="minorHAnsi"/>
          <w:bCs/>
        </w:rPr>
        <w:t xml:space="preserve"> aby profile były niewidoczne od strony zewnętrznej gabloty. </w:t>
      </w:r>
    </w:p>
    <w:p w14:paraId="6577BD42" w14:textId="77777777" w:rsidR="00251F0B" w:rsidRPr="00732541" w:rsidRDefault="00060196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 xml:space="preserve">W górnej i dolnej części szkło jest lakierowane od wewnętrznej strony do wysokości minimum 80 mm. </w:t>
      </w:r>
    </w:p>
    <w:p w14:paraId="0421BCAF" w14:textId="77777777" w:rsidR="00251F0B" w:rsidRPr="00732541" w:rsidRDefault="00060196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 xml:space="preserve">Przyklejanie szyb poprzez warstwę lakieru do konstrukcji nośnej gabloty. </w:t>
      </w:r>
    </w:p>
    <w:p w14:paraId="03E32899" w14:textId="5D268523" w:rsidR="00060196" w:rsidRPr="00732541" w:rsidRDefault="00060196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>Do szkła klejony jest profil metalowy łączony z wieloprzegubowym zawiasem mocowanym do korpusu gabloty. Zawias przy zamkniętej gablocie</w:t>
      </w:r>
      <w:r w:rsidR="00251F0B" w:rsidRPr="00732541">
        <w:rPr>
          <w:rFonts w:asciiTheme="minorHAnsi" w:hAnsiTheme="minorHAnsi" w:cstheme="minorHAnsi"/>
          <w:bCs/>
        </w:rPr>
        <w:t xml:space="preserve"> -</w:t>
      </w:r>
      <w:r w:rsidRPr="00732541">
        <w:rPr>
          <w:rFonts w:asciiTheme="minorHAnsi" w:hAnsiTheme="minorHAnsi" w:cstheme="minorHAnsi"/>
          <w:bCs/>
        </w:rPr>
        <w:t xml:space="preserve"> niewidoczny.</w:t>
      </w:r>
    </w:p>
    <w:p w14:paraId="711CC24F" w14:textId="77777777" w:rsidR="00F27105" w:rsidRPr="00732541" w:rsidRDefault="00F20FC7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>O</w:t>
      </w:r>
      <w:r w:rsidR="00060196" w:rsidRPr="00732541">
        <w:rPr>
          <w:rFonts w:asciiTheme="minorHAnsi" w:hAnsiTheme="minorHAnsi" w:cstheme="minorHAnsi"/>
          <w:bCs/>
        </w:rPr>
        <w:t>świetleniowe LED w górnym zwieńczeniu</w:t>
      </w:r>
      <w:r w:rsidRPr="00732541">
        <w:rPr>
          <w:rFonts w:asciiTheme="minorHAnsi" w:hAnsiTheme="minorHAnsi" w:cstheme="minorHAnsi"/>
          <w:bCs/>
        </w:rPr>
        <w:t xml:space="preserve"> gablot</w:t>
      </w:r>
      <w:r w:rsidR="00060196" w:rsidRPr="00732541">
        <w:rPr>
          <w:rFonts w:asciiTheme="minorHAnsi" w:hAnsiTheme="minorHAnsi" w:cstheme="minorHAnsi"/>
          <w:bCs/>
        </w:rPr>
        <w:t xml:space="preserve">, w szczelnych oprawach, z możliwością regulacji kąta pochylenia w zakresie 0÷20º. </w:t>
      </w:r>
    </w:p>
    <w:p w14:paraId="7D477D95" w14:textId="7277985B" w:rsidR="00F20FC7" w:rsidRPr="00732541" w:rsidRDefault="00060196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 xml:space="preserve">Temperatura bieli w przedziale 2700-3300K. </w:t>
      </w:r>
    </w:p>
    <w:p w14:paraId="1CB478EC" w14:textId="77777777" w:rsidR="00F20FC7" w:rsidRPr="00732541" w:rsidRDefault="00060196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 xml:space="preserve">Współczynnik oddawania barw CRI&gt;90. </w:t>
      </w:r>
    </w:p>
    <w:p w14:paraId="24EAC7A6" w14:textId="3AA9BC95" w:rsidR="00060196" w:rsidRPr="00732541" w:rsidRDefault="00060196" w:rsidP="00060196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lastRenderedPageBreak/>
        <w:t>Oświetlenie z możliwością regulacji natężenia oświetlenia.</w:t>
      </w:r>
    </w:p>
    <w:p w14:paraId="2A9057B2" w14:textId="77777777" w:rsidR="00D71F97" w:rsidRPr="00732541" w:rsidRDefault="00D71F97" w:rsidP="00AD415B">
      <w:pPr>
        <w:spacing w:after="40" w:line="260" w:lineRule="atLeast"/>
        <w:ind w:firstLine="708"/>
        <w:jc w:val="both"/>
        <w:rPr>
          <w:rFonts w:asciiTheme="minorHAnsi" w:hAnsiTheme="minorHAnsi" w:cstheme="minorHAnsi"/>
          <w:bCs/>
        </w:rPr>
      </w:pPr>
    </w:p>
    <w:p w14:paraId="6F0599A7" w14:textId="3BCEC315" w:rsidR="00251F0B" w:rsidRPr="00732541" w:rsidRDefault="00251F0B" w:rsidP="00251F0B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>Gablot</w:t>
      </w:r>
      <w:r w:rsidR="00F20FC7" w:rsidRPr="00732541">
        <w:rPr>
          <w:rFonts w:asciiTheme="minorHAnsi" w:hAnsiTheme="minorHAnsi" w:cstheme="minorHAnsi"/>
          <w:bCs/>
        </w:rPr>
        <w:t>y</w:t>
      </w:r>
      <w:r w:rsidRPr="00732541">
        <w:rPr>
          <w:rFonts w:asciiTheme="minorHAnsi" w:hAnsiTheme="minorHAnsi" w:cstheme="minorHAnsi"/>
          <w:bCs/>
        </w:rPr>
        <w:t xml:space="preserve"> naścienn</w:t>
      </w:r>
      <w:r w:rsidR="00F20FC7" w:rsidRPr="00732541">
        <w:rPr>
          <w:rFonts w:asciiTheme="minorHAnsi" w:hAnsiTheme="minorHAnsi" w:cstheme="minorHAnsi"/>
          <w:bCs/>
        </w:rPr>
        <w:t>e</w:t>
      </w:r>
      <w:r w:rsidRPr="00732541">
        <w:rPr>
          <w:rFonts w:asciiTheme="minorHAnsi" w:hAnsiTheme="minorHAnsi" w:cstheme="minorHAnsi"/>
          <w:bCs/>
        </w:rPr>
        <w:t>/wisząc</w:t>
      </w:r>
      <w:r w:rsidR="00F20FC7" w:rsidRPr="00732541">
        <w:rPr>
          <w:rFonts w:asciiTheme="minorHAnsi" w:hAnsiTheme="minorHAnsi" w:cstheme="minorHAnsi"/>
          <w:bCs/>
        </w:rPr>
        <w:t>e</w:t>
      </w:r>
      <w:r w:rsidRPr="00732541">
        <w:rPr>
          <w:rFonts w:asciiTheme="minorHAnsi" w:hAnsiTheme="minorHAnsi" w:cstheme="minorHAnsi"/>
          <w:bCs/>
        </w:rPr>
        <w:t>:</w:t>
      </w:r>
    </w:p>
    <w:p w14:paraId="44E49A12" w14:textId="77777777" w:rsidR="00251F0B" w:rsidRPr="00732541" w:rsidRDefault="00251F0B" w:rsidP="00251F0B">
      <w:pPr>
        <w:tabs>
          <w:tab w:val="left" w:pos="566"/>
        </w:tabs>
        <w:jc w:val="both"/>
        <w:rPr>
          <w:rFonts w:asciiTheme="minorHAnsi" w:hAnsiTheme="minorHAnsi" w:cstheme="minorHAnsi"/>
          <w:bCs/>
        </w:rPr>
      </w:pPr>
    </w:p>
    <w:p w14:paraId="10F78EDE" w14:textId="135BEE0C" w:rsidR="00251F0B" w:rsidRPr="00732541" w:rsidRDefault="00251F0B" w:rsidP="00251F0B">
      <w:pPr>
        <w:jc w:val="both"/>
        <w:rPr>
          <w:rFonts w:asciiTheme="minorHAnsi" w:eastAsia="TimesNewRomanPSMT" w:hAnsiTheme="minorHAnsi" w:cstheme="minorHAnsi"/>
          <w:bCs/>
        </w:rPr>
      </w:pPr>
      <w:r w:rsidRPr="00732541">
        <w:rPr>
          <w:rFonts w:asciiTheme="minorHAnsi" w:eastAsia="TimesNewRomanPSMT" w:hAnsiTheme="minorHAnsi" w:cstheme="minorHAnsi"/>
          <w:bCs/>
        </w:rPr>
        <w:t>Konstrukcj</w:t>
      </w:r>
      <w:r w:rsidR="003379C7" w:rsidRPr="00732541">
        <w:rPr>
          <w:rFonts w:asciiTheme="minorHAnsi" w:eastAsia="TimesNewRomanPSMT" w:hAnsiTheme="minorHAnsi" w:cstheme="minorHAnsi"/>
          <w:bCs/>
        </w:rPr>
        <w:t>a</w:t>
      </w:r>
      <w:r w:rsidRPr="00732541">
        <w:rPr>
          <w:rFonts w:asciiTheme="minorHAnsi" w:eastAsia="TimesNewRomanPSMT" w:hAnsiTheme="minorHAnsi" w:cstheme="minorHAnsi"/>
          <w:bCs/>
        </w:rPr>
        <w:t xml:space="preserve"> nośn</w:t>
      </w:r>
      <w:r w:rsidR="003379C7" w:rsidRPr="00732541">
        <w:rPr>
          <w:rFonts w:asciiTheme="minorHAnsi" w:eastAsia="TimesNewRomanPSMT" w:hAnsiTheme="minorHAnsi" w:cstheme="minorHAnsi"/>
          <w:bCs/>
        </w:rPr>
        <w:t>a</w:t>
      </w:r>
      <w:r w:rsidRPr="00732541">
        <w:rPr>
          <w:rFonts w:asciiTheme="minorHAnsi" w:eastAsia="TimesNewRomanPSMT" w:hAnsiTheme="minorHAnsi" w:cstheme="minorHAnsi"/>
          <w:bCs/>
        </w:rPr>
        <w:t xml:space="preserve"> gabloty </w:t>
      </w:r>
      <w:r w:rsidR="003379C7" w:rsidRPr="00732541">
        <w:rPr>
          <w:rFonts w:asciiTheme="minorHAnsi" w:eastAsia="TimesNewRomanPSMT" w:hAnsiTheme="minorHAnsi" w:cstheme="minorHAnsi"/>
          <w:bCs/>
        </w:rPr>
        <w:t>-</w:t>
      </w:r>
      <w:r w:rsidRPr="00732541">
        <w:rPr>
          <w:rFonts w:asciiTheme="minorHAnsi" w:eastAsia="TimesNewRomanPSMT" w:hAnsiTheme="minorHAnsi" w:cstheme="minorHAnsi"/>
          <w:bCs/>
        </w:rPr>
        <w:t xml:space="preserve"> stalowa/aluminiowa rama lakierowana proszkowo </w:t>
      </w:r>
      <w:r w:rsidRPr="00732541">
        <w:rPr>
          <w:rFonts w:asciiTheme="minorHAnsi" w:eastAsia="TimesNewRomanPSMT" w:hAnsiTheme="minorHAnsi" w:cstheme="minorHAnsi"/>
          <w:bCs/>
          <w:lang w:eastAsia="pl-PL" w:bidi="pl-PL"/>
        </w:rPr>
        <w:t>na wskazany przez Zamawiającego kolor z palety RAL.</w:t>
      </w:r>
    </w:p>
    <w:p w14:paraId="49FEDC70" w14:textId="77777777" w:rsidR="003379C7" w:rsidRPr="00732541" w:rsidRDefault="00251F0B" w:rsidP="00251F0B">
      <w:pPr>
        <w:autoSpaceDE w:val="0"/>
        <w:jc w:val="both"/>
        <w:rPr>
          <w:rFonts w:asciiTheme="minorHAnsi" w:eastAsia="TimesNewRomanPSMT" w:hAnsiTheme="minorHAnsi" w:cstheme="minorHAnsi"/>
          <w:bCs/>
        </w:rPr>
      </w:pPr>
      <w:r w:rsidRPr="00732541">
        <w:rPr>
          <w:rFonts w:asciiTheme="minorHAnsi" w:eastAsia="TimesNewRomanPSMT" w:hAnsiTheme="minorHAnsi" w:cstheme="minorHAnsi"/>
          <w:bCs/>
        </w:rPr>
        <w:t xml:space="preserve">Klosz gabloty </w:t>
      </w:r>
      <w:r w:rsidR="003379C7" w:rsidRPr="00732541">
        <w:rPr>
          <w:rFonts w:asciiTheme="minorHAnsi" w:eastAsia="TimesNewRomanPSMT" w:hAnsiTheme="minorHAnsi" w:cstheme="minorHAnsi"/>
          <w:bCs/>
        </w:rPr>
        <w:t xml:space="preserve">- </w:t>
      </w:r>
      <w:r w:rsidRPr="00732541">
        <w:rPr>
          <w:rFonts w:asciiTheme="minorHAnsi" w:eastAsia="TimesNewRomanPSMT" w:hAnsiTheme="minorHAnsi" w:cstheme="minorHAnsi"/>
          <w:bCs/>
        </w:rPr>
        <w:t>szkł</w:t>
      </w:r>
      <w:r w:rsidR="003379C7" w:rsidRPr="00732541">
        <w:rPr>
          <w:rFonts w:asciiTheme="minorHAnsi" w:eastAsia="TimesNewRomanPSMT" w:hAnsiTheme="minorHAnsi" w:cstheme="minorHAnsi"/>
          <w:bCs/>
        </w:rPr>
        <w:t>o</w:t>
      </w:r>
      <w:r w:rsidRPr="00732541">
        <w:rPr>
          <w:rFonts w:asciiTheme="minorHAnsi" w:eastAsia="TimesNewRomanPSMT" w:hAnsiTheme="minorHAnsi" w:cstheme="minorHAnsi"/>
          <w:bCs/>
        </w:rPr>
        <w:t xml:space="preserve"> w klasie P4A, bezpieczn</w:t>
      </w:r>
      <w:r w:rsidR="003379C7" w:rsidRPr="00732541">
        <w:rPr>
          <w:rFonts w:asciiTheme="minorHAnsi" w:eastAsia="TimesNewRomanPSMT" w:hAnsiTheme="minorHAnsi" w:cstheme="minorHAnsi"/>
          <w:bCs/>
        </w:rPr>
        <w:t>ie</w:t>
      </w:r>
      <w:r w:rsidRPr="00732541">
        <w:rPr>
          <w:rFonts w:asciiTheme="minorHAnsi" w:eastAsia="TimesNewRomanPSMT" w:hAnsiTheme="minorHAnsi" w:cstheme="minorHAnsi"/>
          <w:bCs/>
        </w:rPr>
        <w:t xml:space="preserve"> laminowane 44.4 (szkło o grubości  9,6mm). </w:t>
      </w:r>
    </w:p>
    <w:p w14:paraId="107C361A" w14:textId="77777777" w:rsidR="003379C7" w:rsidRPr="00732541" w:rsidRDefault="00251F0B" w:rsidP="00251F0B">
      <w:pPr>
        <w:autoSpaceDE w:val="0"/>
        <w:jc w:val="both"/>
        <w:rPr>
          <w:rFonts w:asciiTheme="minorHAnsi" w:eastAsia="TimesNewRomanPSMT" w:hAnsiTheme="minorHAnsi" w:cstheme="minorHAnsi"/>
          <w:bCs/>
        </w:rPr>
      </w:pPr>
      <w:r w:rsidRPr="00732541">
        <w:rPr>
          <w:rFonts w:asciiTheme="minorHAnsi" w:eastAsia="TimesNewRomanPSMT" w:hAnsiTheme="minorHAnsi" w:cstheme="minorHAnsi"/>
          <w:bCs/>
        </w:rPr>
        <w:t xml:space="preserve">Klejone ze sobą krawędzie fazowane </w:t>
      </w:r>
      <w:r w:rsidR="003379C7" w:rsidRPr="00732541">
        <w:rPr>
          <w:rFonts w:asciiTheme="minorHAnsi" w:eastAsia="TimesNewRomanPSMT" w:hAnsiTheme="minorHAnsi" w:cstheme="minorHAnsi"/>
          <w:bCs/>
        </w:rPr>
        <w:t>-</w:t>
      </w:r>
      <w:r w:rsidRPr="00732541">
        <w:rPr>
          <w:rFonts w:asciiTheme="minorHAnsi" w:eastAsia="TimesNewRomanPSMT" w:hAnsiTheme="minorHAnsi" w:cstheme="minorHAnsi"/>
          <w:bCs/>
        </w:rPr>
        <w:t xml:space="preserve"> pod kątem 90°, polerowan</w:t>
      </w:r>
      <w:r w:rsidR="003379C7" w:rsidRPr="00732541">
        <w:rPr>
          <w:rFonts w:asciiTheme="minorHAnsi" w:eastAsia="TimesNewRomanPSMT" w:hAnsiTheme="minorHAnsi" w:cstheme="minorHAnsi"/>
          <w:bCs/>
        </w:rPr>
        <w:t>e</w:t>
      </w:r>
      <w:r w:rsidRPr="00732541">
        <w:rPr>
          <w:rFonts w:asciiTheme="minorHAnsi" w:eastAsia="TimesNewRomanPSMT" w:hAnsiTheme="minorHAnsi" w:cstheme="minorHAnsi"/>
          <w:bCs/>
        </w:rPr>
        <w:t xml:space="preserve">. </w:t>
      </w:r>
    </w:p>
    <w:p w14:paraId="04308476" w14:textId="1316932B" w:rsidR="00251F0B" w:rsidRPr="00732541" w:rsidRDefault="00251F0B" w:rsidP="00251F0B">
      <w:pPr>
        <w:autoSpaceDE w:val="0"/>
        <w:jc w:val="both"/>
        <w:rPr>
          <w:rFonts w:asciiTheme="minorHAnsi" w:eastAsia="TimesNewRomanPSMT" w:hAnsiTheme="minorHAnsi" w:cstheme="minorHAnsi"/>
          <w:bCs/>
        </w:rPr>
      </w:pPr>
      <w:r w:rsidRPr="00732541">
        <w:rPr>
          <w:rFonts w:asciiTheme="minorHAnsi" w:eastAsia="TimesNewRomanPSMT" w:hAnsiTheme="minorHAnsi" w:cstheme="minorHAnsi"/>
          <w:bCs/>
        </w:rPr>
        <w:t xml:space="preserve">Klosz wklejany w ramę silikonem neutralnym dla eksponatów. </w:t>
      </w:r>
    </w:p>
    <w:p w14:paraId="11B98E40" w14:textId="77777777" w:rsidR="003379C7" w:rsidRPr="00732541" w:rsidRDefault="00251F0B" w:rsidP="00251F0B">
      <w:pPr>
        <w:pStyle w:val="Tekstpodstawowy"/>
        <w:jc w:val="both"/>
        <w:rPr>
          <w:rFonts w:asciiTheme="minorHAnsi" w:eastAsia="TimesNewRomanPSMT" w:hAnsiTheme="minorHAnsi" w:cstheme="minorHAnsi"/>
          <w:bCs/>
        </w:rPr>
      </w:pPr>
      <w:r w:rsidRPr="00732541">
        <w:rPr>
          <w:rFonts w:asciiTheme="minorHAnsi" w:eastAsia="TimesNewRomanPSMT" w:hAnsiTheme="minorHAnsi" w:cstheme="minorHAnsi"/>
          <w:bCs/>
        </w:rPr>
        <w:t xml:space="preserve">Dostęp do wnętrza gabloty możliwy poprzez podniesienie klosza przy pomocy sprężyn gazowych. </w:t>
      </w:r>
    </w:p>
    <w:p w14:paraId="6BD46BB1" w14:textId="77777777" w:rsidR="003379C7" w:rsidRPr="00732541" w:rsidRDefault="00251F0B" w:rsidP="00251F0B">
      <w:pPr>
        <w:pStyle w:val="Tekstpodstawowy"/>
        <w:jc w:val="both"/>
        <w:rPr>
          <w:rFonts w:asciiTheme="minorHAnsi" w:eastAsia="TimesNewRomanPSMT" w:hAnsiTheme="minorHAnsi" w:cstheme="minorHAnsi"/>
          <w:bCs/>
        </w:rPr>
      </w:pPr>
      <w:r w:rsidRPr="00732541">
        <w:rPr>
          <w:rFonts w:asciiTheme="minorHAnsi" w:eastAsia="TimesNewRomanPSMT" w:hAnsiTheme="minorHAnsi" w:cstheme="minorHAnsi"/>
          <w:bCs/>
        </w:rPr>
        <w:t xml:space="preserve">Gabloty zamykane zamkami dyskowymi o podwyższonej odporności na włamanie (klasa B odporności na włamanie- 6 klasa zabezpieczeń wg PN-EN 1303:2007). </w:t>
      </w:r>
    </w:p>
    <w:p w14:paraId="257216DB" w14:textId="77777777" w:rsidR="003379C7" w:rsidRPr="00732541" w:rsidRDefault="00251F0B" w:rsidP="00251F0B">
      <w:pPr>
        <w:pStyle w:val="Tekstpodstawowy"/>
        <w:jc w:val="both"/>
        <w:rPr>
          <w:rFonts w:asciiTheme="minorHAnsi" w:hAnsiTheme="minorHAnsi" w:cstheme="minorHAnsi"/>
          <w:bCs/>
        </w:rPr>
      </w:pPr>
      <w:r w:rsidRPr="00732541">
        <w:rPr>
          <w:rFonts w:asciiTheme="minorHAnsi" w:eastAsia="TimesNewRomanPSMT" w:hAnsiTheme="minorHAnsi" w:cstheme="minorHAnsi"/>
          <w:bCs/>
        </w:rPr>
        <w:t>Elementy zespołu zamka i jego ryglowania ukryte w konstrukcji gabloty</w:t>
      </w:r>
      <w:r w:rsidRPr="00732541">
        <w:rPr>
          <w:rFonts w:asciiTheme="minorHAnsi" w:hAnsiTheme="minorHAnsi" w:cstheme="minorHAnsi"/>
          <w:bCs/>
        </w:rPr>
        <w:t xml:space="preserve">. </w:t>
      </w:r>
    </w:p>
    <w:p w14:paraId="48885209" w14:textId="77777777" w:rsidR="003379C7" w:rsidRPr="00732541" w:rsidRDefault="00251F0B" w:rsidP="00251F0B">
      <w:pPr>
        <w:pStyle w:val="Tekstpodstawowy"/>
        <w:jc w:val="both"/>
        <w:rPr>
          <w:rStyle w:val="Pogrubienie"/>
          <w:rFonts w:asciiTheme="minorHAnsi" w:eastAsia="Lucida Sans Unicode" w:hAnsiTheme="minorHAnsi" w:cstheme="minorHAnsi"/>
          <w:b w:val="0"/>
        </w:rPr>
      </w:pPr>
      <w:r w:rsidRPr="00732541">
        <w:rPr>
          <w:rStyle w:val="Pogrubienie"/>
          <w:rFonts w:asciiTheme="minorHAnsi" w:eastAsia="Lucida Sans Unicode" w:hAnsiTheme="minorHAnsi" w:cstheme="minorHAnsi"/>
          <w:b w:val="0"/>
        </w:rPr>
        <w:t xml:space="preserve">Klucz do zamka zabezpieczony kodem uniemożliwiającym kopiowanie bez znajomości kodu. Zamek zamontowany w podstawie gabloty od dołu, nie widoczny od frontu. </w:t>
      </w:r>
    </w:p>
    <w:p w14:paraId="545663FB" w14:textId="24E38C41" w:rsidR="00251F0B" w:rsidRPr="00732541" w:rsidRDefault="00251F0B" w:rsidP="00251F0B">
      <w:pPr>
        <w:pStyle w:val="Tekstpodstawowy"/>
        <w:jc w:val="both"/>
        <w:rPr>
          <w:rFonts w:asciiTheme="minorHAnsi" w:hAnsiTheme="minorHAnsi" w:cstheme="minorHAnsi"/>
          <w:bCs/>
        </w:rPr>
      </w:pPr>
      <w:r w:rsidRPr="00732541">
        <w:rPr>
          <w:rStyle w:val="Pogrubienie"/>
          <w:rFonts w:asciiTheme="minorHAnsi" w:eastAsia="Lucida Sans Unicode" w:hAnsiTheme="minorHAnsi" w:cstheme="minorHAnsi"/>
          <w:b w:val="0"/>
        </w:rPr>
        <w:t>Wkładka z wpustem na wprowadzenie klucza do zamka zrównana z powierzchnią dolnej ścianki.</w:t>
      </w:r>
    </w:p>
    <w:p w14:paraId="03277720" w14:textId="77777777" w:rsidR="003379C7" w:rsidRPr="00732541" w:rsidRDefault="00251F0B" w:rsidP="00251F0B">
      <w:pPr>
        <w:pStyle w:val="Tekstpodstawowy"/>
        <w:jc w:val="both"/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 xml:space="preserve">Gablota oświetlona za pomocą diod LED umieszczonych w oprawach wzdłuż pionowych boków gabloty. </w:t>
      </w:r>
    </w:p>
    <w:p w14:paraId="71732E38" w14:textId="77777777" w:rsidR="003379C7" w:rsidRPr="00732541" w:rsidRDefault="00251F0B" w:rsidP="00251F0B">
      <w:pPr>
        <w:pStyle w:val="Tekstpodstawowy"/>
        <w:jc w:val="both"/>
        <w:rPr>
          <w:rFonts w:asciiTheme="minorHAnsi" w:eastAsia="Lucida Sans Unicode" w:hAnsiTheme="minorHAnsi" w:cstheme="minorHAnsi"/>
          <w:bCs/>
        </w:rPr>
      </w:pPr>
      <w:r w:rsidRPr="00732541">
        <w:rPr>
          <w:rFonts w:asciiTheme="minorHAnsi" w:eastAsia="Lucida Sans Unicode" w:hAnsiTheme="minorHAnsi" w:cstheme="minorHAnsi"/>
          <w:bCs/>
        </w:rPr>
        <w:t xml:space="preserve">Współczynnik oddawania barw  CRI&gt;83. </w:t>
      </w:r>
    </w:p>
    <w:p w14:paraId="1146681B" w14:textId="1C11C9B0" w:rsidR="00251F0B" w:rsidRPr="00732541" w:rsidRDefault="00251F0B" w:rsidP="00251F0B">
      <w:pPr>
        <w:pStyle w:val="Tekstpodstawowy"/>
        <w:jc w:val="both"/>
        <w:rPr>
          <w:rFonts w:asciiTheme="minorHAnsi" w:eastAsia="Lucida Sans Unicode" w:hAnsiTheme="minorHAnsi" w:cstheme="minorHAnsi"/>
          <w:bCs/>
        </w:rPr>
      </w:pPr>
      <w:r w:rsidRPr="00732541">
        <w:rPr>
          <w:rFonts w:asciiTheme="minorHAnsi" w:eastAsia="Lucida Sans Unicode" w:hAnsiTheme="minorHAnsi" w:cstheme="minorHAnsi"/>
          <w:bCs/>
        </w:rPr>
        <w:t xml:space="preserve">Oświetlenie z możliwością regulacji natężenia oświetlenia. </w:t>
      </w:r>
    </w:p>
    <w:p w14:paraId="55149811" w14:textId="77777777" w:rsidR="00251F0B" w:rsidRPr="00732541" w:rsidRDefault="00251F0B" w:rsidP="00251F0B">
      <w:pPr>
        <w:jc w:val="both"/>
        <w:rPr>
          <w:rStyle w:val="Pogrubienie"/>
          <w:rFonts w:asciiTheme="minorHAnsi" w:eastAsia="Lucida Sans Unicode" w:hAnsiTheme="minorHAnsi" w:cstheme="minorHAnsi"/>
          <w:b w:val="0"/>
        </w:rPr>
      </w:pPr>
      <w:r w:rsidRPr="00732541">
        <w:rPr>
          <w:rStyle w:val="Pogrubienie"/>
          <w:rFonts w:asciiTheme="minorHAnsi" w:eastAsia="Lucida Sans Unicode" w:hAnsiTheme="minorHAnsi" w:cstheme="minorHAnsi"/>
          <w:b w:val="0"/>
        </w:rPr>
        <w:t>Wnętrze gabloty wykonane z materiałów spełniających test Oddy.</w:t>
      </w:r>
    </w:p>
    <w:p w14:paraId="121AB03A" w14:textId="77777777" w:rsidR="00251F0B" w:rsidRPr="00732541" w:rsidRDefault="00251F0B" w:rsidP="00251F0B">
      <w:pPr>
        <w:spacing w:line="100" w:lineRule="atLeast"/>
        <w:ind w:left="11"/>
        <w:jc w:val="both"/>
        <w:rPr>
          <w:rFonts w:asciiTheme="minorHAnsi" w:eastAsia="Lucida Sans Unicode" w:hAnsiTheme="minorHAnsi" w:cstheme="minorHAnsi"/>
          <w:bCs/>
        </w:rPr>
      </w:pPr>
      <w:r w:rsidRPr="00732541">
        <w:rPr>
          <w:rFonts w:asciiTheme="minorHAnsi" w:eastAsia="Lucida Sans Unicode" w:hAnsiTheme="minorHAnsi" w:cstheme="minorHAnsi"/>
          <w:bCs/>
        </w:rPr>
        <w:t>Gablota szczelna, ACD minimum 0,5, wyposażona w pojemnik na silika żel.</w:t>
      </w:r>
    </w:p>
    <w:p w14:paraId="2144FF5F" w14:textId="77777777" w:rsidR="00251F0B" w:rsidRPr="00732541" w:rsidRDefault="00251F0B" w:rsidP="00251F0B">
      <w:pPr>
        <w:spacing w:after="40" w:line="260" w:lineRule="atLeast"/>
        <w:rPr>
          <w:rFonts w:asciiTheme="minorHAnsi" w:hAnsiTheme="minorHAnsi" w:cstheme="minorHAnsi"/>
          <w:bCs/>
        </w:rPr>
      </w:pPr>
    </w:p>
    <w:p w14:paraId="25736D15" w14:textId="6A27E8B7" w:rsidR="00AC6596" w:rsidRDefault="00F212CF">
      <w:pPr>
        <w:rPr>
          <w:rFonts w:asciiTheme="minorHAnsi" w:hAnsiTheme="minorHAnsi" w:cstheme="minorHAnsi"/>
          <w:b/>
        </w:rPr>
      </w:pPr>
      <w:r w:rsidRPr="00F212CF">
        <w:rPr>
          <w:rFonts w:asciiTheme="minorHAnsi" w:hAnsiTheme="minorHAnsi" w:cstheme="minorHAnsi"/>
          <w:b/>
        </w:rPr>
        <w:t xml:space="preserve">3. </w:t>
      </w:r>
      <w:r w:rsidR="00AC6596" w:rsidRPr="00F212CF">
        <w:rPr>
          <w:rFonts w:asciiTheme="minorHAnsi" w:hAnsiTheme="minorHAnsi" w:cstheme="minorHAnsi"/>
          <w:b/>
        </w:rPr>
        <w:t>Wymagania</w:t>
      </w:r>
      <w:r w:rsidR="00D71F97" w:rsidRPr="00F212CF">
        <w:rPr>
          <w:rFonts w:asciiTheme="minorHAnsi" w:hAnsiTheme="minorHAnsi" w:cstheme="minorHAnsi"/>
          <w:b/>
        </w:rPr>
        <w:t xml:space="preserve"> </w:t>
      </w:r>
      <w:r w:rsidR="002F1798" w:rsidRPr="00F212CF">
        <w:rPr>
          <w:rFonts w:asciiTheme="minorHAnsi" w:hAnsiTheme="minorHAnsi" w:cstheme="minorHAnsi"/>
          <w:b/>
        </w:rPr>
        <w:t xml:space="preserve">odnośnie </w:t>
      </w:r>
      <w:r w:rsidR="00D71F97" w:rsidRPr="00F212CF">
        <w:rPr>
          <w:rFonts w:asciiTheme="minorHAnsi" w:hAnsiTheme="minorHAnsi" w:cstheme="minorHAnsi"/>
          <w:b/>
        </w:rPr>
        <w:t>zastosowanych materiałów w gablotach</w:t>
      </w:r>
      <w:r w:rsidR="00AC6596" w:rsidRPr="00F212CF">
        <w:rPr>
          <w:rFonts w:asciiTheme="minorHAnsi" w:hAnsiTheme="minorHAnsi" w:cstheme="minorHAnsi"/>
          <w:b/>
        </w:rPr>
        <w:t xml:space="preserve">: </w:t>
      </w:r>
    </w:p>
    <w:p w14:paraId="1817991D" w14:textId="77777777" w:rsidR="00F212CF" w:rsidRPr="00F212CF" w:rsidRDefault="00F212CF">
      <w:pPr>
        <w:rPr>
          <w:rFonts w:asciiTheme="minorHAnsi" w:hAnsiTheme="minorHAnsi" w:cstheme="minorHAnsi"/>
          <w:b/>
        </w:rPr>
      </w:pPr>
    </w:p>
    <w:p w14:paraId="3FFC3B1F" w14:textId="0E6FF560" w:rsidR="00AD415B" w:rsidRPr="00732541" w:rsidRDefault="00AD415B" w:rsidP="00D71F97">
      <w:pPr>
        <w:pStyle w:val="Akapitzlist"/>
        <w:numPr>
          <w:ilvl w:val="0"/>
          <w:numId w:val="7"/>
        </w:numPr>
        <w:rPr>
          <w:rFonts w:cstheme="minorHAnsi"/>
          <w:bCs/>
        </w:rPr>
      </w:pPr>
      <w:bookmarkStart w:id="1" w:name="_Hlk2250035"/>
      <w:bookmarkStart w:id="2" w:name="_Hlk1981208"/>
      <w:r w:rsidRPr="00732541">
        <w:rPr>
          <w:rFonts w:cstheme="minorHAnsi"/>
          <w:bCs/>
        </w:rPr>
        <w:t xml:space="preserve">TAFLE SZKLANE 55.4 </w:t>
      </w:r>
      <w:bookmarkStart w:id="3" w:name="_Hlk1826261"/>
      <w:r w:rsidR="001D32C9" w:rsidRPr="00732541">
        <w:rPr>
          <w:rFonts w:cstheme="minorHAnsi"/>
          <w:bCs/>
        </w:rPr>
        <w:t xml:space="preserve">w </w:t>
      </w:r>
      <w:r w:rsidRPr="00732541">
        <w:rPr>
          <w:rFonts w:cstheme="minorHAnsi"/>
          <w:bCs/>
        </w:rPr>
        <w:t>gablot</w:t>
      </w:r>
      <w:r w:rsidR="001D32C9" w:rsidRPr="00732541">
        <w:rPr>
          <w:rFonts w:cstheme="minorHAnsi"/>
          <w:bCs/>
        </w:rPr>
        <w:t>ach</w:t>
      </w:r>
      <w:bookmarkEnd w:id="3"/>
      <w:r w:rsidRPr="00732541">
        <w:rPr>
          <w:rFonts w:cstheme="minorHAnsi"/>
          <w:bCs/>
        </w:rPr>
        <w:t xml:space="preserve"> wolnostojących:</w:t>
      </w:r>
    </w:p>
    <w:p w14:paraId="4A74F392" w14:textId="77777777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Szkło o obniżonej zawartości żelaza w klasie P4A bezpieczne laminowane 55.4 </w:t>
      </w:r>
    </w:p>
    <w:p w14:paraId="03B103AE" w14:textId="77777777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(grubość dwóch warstw szkła – każda po 5 mm i cztery folie PVB służące do laminowania szkła)</w:t>
      </w:r>
    </w:p>
    <w:p w14:paraId="38E6E34F" w14:textId="77777777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Odbicie ≤ 8</w:t>
      </w:r>
      <w:r w:rsidR="006A4A20" w:rsidRPr="00732541">
        <w:rPr>
          <w:rFonts w:cstheme="minorHAnsi"/>
          <w:bCs/>
        </w:rPr>
        <w:t>,</w:t>
      </w:r>
      <w:r w:rsidR="0082672A" w:rsidRPr="00732541">
        <w:rPr>
          <w:rFonts w:cstheme="minorHAnsi"/>
          <w:bCs/>
        </w:rPr>
        <w:t>1</w:t>
      </w:r>
      <w:r w:rsidRPr="00732541">
        <w:rPr>
          <w:rFonts w:cstheme="minorHAnsi"/>
          <w:bCs/>
        </w:rPr>
        <w:t>%,</w:t>
      </w:r>
    </w:p>
    <w:bookmarkEnd w:id="1"/>
    <w:p w14:paraId="6E7EE074" w14:textId="77777777" w:rsidR="009B4221" w:rsidRPr="00732541" w:rsidRDefault="009B4221" w:rsidP="00AD415B">
      <w:pPr>
        <w:pStyle w:val="Akapitzlist"/>
        <w:rPr>
          <w:rFonts w:cstheme="minorHAnsi"/>
          <w:bCs/>
        </w:rPr>
      </w:pPr>
    </w:p>
    <w:p w14:paraId="3F4C8F3F" w14:textId="77573639" w:rsidR="00AD415B" w:rsidRPr="00732541" w:rsidRDefault="00AD415B" w:rsidP="00D71F97">
      <w:pPr>
        <w:pStyle w:val="Akapitzlist"/>
        <w:numPr>
          <w:ilvl w:val="0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TAFLE SZKLANE 44.4 </w:t>
      </w:r>
      <w:r w:rsidR="001D32C9" w:rsidRPr="00732541">
        <w:rPr>
          <w:rFonts w:cstheme="minorHAnsi"/>
          <w:bCs/>
        </w:rPr>
        <w:t xml:space="preserve">w gablotach </w:t>
      </w:r>
      <w:r w:rsidR="00060196" w:rsidRPr="00732541">
        <w:rPr>
          <w:rFonts w:cstheme="minorHAnsi"/>
          <w:bCs/>
        </w:rPr>
        <w:t>naściennych</w:t>
      </w:r>
      <w:r w:rsidR="00F27105" w:rsidRPr="00732541">
        <w:rPr>
          <w:rFonts w:cstheme="minorHAnsi"/>
          <w:bCs/>
        </w:rPr>
        <w:t>:</w:t>
      </w:r>
    </w:p>
    <w:p w14:paraId="7720340F" w14:textId="6D19BF99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Szkło o obniż</w:t>
      </w:r>
      <w:r w:rsidR="00887340" w:rsidRPr="00732541">
        <w:rPr>
          <w:rFonts w:cstheme="minorHAnsi"/>
          <w:bCs/>
        </w:rPr>
        <w:t>on</w:t>
      </w:r>
      <w:r w:rsidRPr="00732541">
        <w:rPr>
          <w:rFonts w:cstheme="minorHAnsi"/>
          <w:bCs/>
        </w:rPr>
        <w:t xml:space="preserve">ej zawartości żelaza w klasie P4A bezpieczne laminowane 44.4 </w:t>
      </w:r>
    </w:p>
    <w:p w14:paraId="297A0AED" w14:textId="77777777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(grubość dwóch warstw szkła – każda po 4 mm i cztery folie PVB służące do laminowania szkła)</w:t>
      </w:r>
    </w:p>
    <w:p w14:paraId="4A01FA18" w14:textId="77777777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Odbicie ≤ 8,1%,</w:t>
      </w:r>
    </w:p>
    <w:bookmarkEnd w:id="2"/>
    <w:p w14:paraId="75F66CD6" w14:textId="77777777" w:rsidR="00AD415B" w:rsidRPr="00732541" w:rsidRDefault="00AD415B" w:rsidP="00AD415B">
      <w:pPr>
        <w:pStyle w:val="Akapitzlist"/>
        <w:ind w:left="360"/>
        <w:rPr>
          <w:rFonts w:cstheme="minorHAnsi"/>
          <w:bCs/>
        </w:rPr>
      </w:pPr>
    </w:p>
    <w:p w14:paraId="09BA4B7A" w14:textId="77777777" w:rsidR="00AD415B" w:rsidRPr="00732541" w:rsidRDefault="00AD415B" w:rsidP="00D71F97">
      <w:pPr>
        <w:pStyle w:val="Akapitzlist"/>
        <w:numPr>
          <w:ilvl w:val="0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SYSTEM ZAMYKANIA: </w:t>
      </w:r>
    </w:p>
    <w:p w14:paraId="4AEE3301" w14:textId="4C3F914E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System musi spełniać wymagania Rozporządzenia Ministra Kultury i Dziedzictwa Narodowego z dnia 2 września 2014 roku</w:t>
      </w:r>
      <w:r w:rsidR="008D29B1" w:rsidRPr="00732541">
        <w:rPr>
          <w:rFonts w:cstheme="minorHAnsi"/>
          <w:bCs/>
        </w:rPr>
        <w:t xml:space="preserve"> (Dz.U. 2014 poz. 1240)</w:t>
      </w:r>
      <w:r w:rsidRPr="00732541">
        <w:rPr>
          <w:rFonts w:cstheme="minorHAnsi"/>
          <w:bCs/>
        </w:rPr>
        <w:t>, w sprawie zabezpieczenia zbiorów muzeum przed pożarem, kradzieżą i innym niebezpieczeństwem grożącym ich zniszczeniem lub utratą, w tym posiadać zabezpieczenia zgodne z PN-EN 12209.</w:t>
      </w:r>
    </w:p>
    <w:p w14:paraId="2F27833C" w14:textId="77777777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Drzwi gabloty - system oparty na wkładkach o konstrukcji bębenkowej</w:t>
      </w:r>
    </w:p>
    <w:p w14:paraId="19E24E6B" w14:textId="77777777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Klasa zabezpieczenia – 6 klasa zgodnie PN-EN 1303:2015-07</w:t>
      </w:r>
    </w:p>
    <w:p w14:paraId="19E72C80" w14:textId="77777777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Klasa odporności na włamanie – C klasa, zgodnie PN-EN 1303:2015-07</w:t>
      </w:r>
    </w:p>
    <w:p w14:paraId="54A2E4DE" w14:textId="77777777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Zabezpieczenie związane z kluczem – 6 klasa lub lepsza; zgodnie z PN-EN 1303:2015-07</w:t>
      </w:r>
    </w:p>
    <w:p w14:paraId="08330599" w14:textId="77777777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Odporność na atak – D klasa, zgodnie z PN-EN 1303:2015-07</w:t>
      </w:r>
    </w:p>
    <w:p w14:paraId="286A761B" w14:textId="77777777" w:rsidR="00AD415B" w:rsidRPr="00732541" w:rsidRDefault="00AD415B" w:rsidP="00AD415B">
      <w:pPr>
        <w:pStyle w:val="Akapitzlist"/>
        <w:rPr>
          <w:rFonts w:cstheme="minorHAnsi"/>
          <w:bCs/>
        </w:rPr>
      </w:pPr>
    </w:p>
    <w:p w14:paraId="1741B424" w14:textId="0E56D8F8" w:rsidR="00AD415B" w:rsidRPr="00732541" w:rsidRDefault="00AD415B" w:rsidP="00D71F97">
      <w:pPr>
        <w:pStyle w:val="Akapitzlist"/>
        <w:numPr>
          <w:ilvl w:val="0"/>
          <w:numId w:val="7"/>
        </w:numPr>
        <w:rPr>
          <w:rFonts w:cstheme="minorHAnsi"/>
          <w:bCs/>
        </w:rPr>
      </w:pPr>
      <w:bookmarkStart w:id="4" w:name="_Hlk1977619"/>
      <w:r w:rsidRPr="00732541">
        <w:rPr>
          <w:rFonts w:cstheme="minorHAnsi"/>
          <w:bCs/>
        </w:rPr>
        <w:t>Sprężyny gazowe dla gablot</w:t>
      </w:r>
      <w:r w:rsidR="00060196" w:rsidRPr="00732541">
        <w:rPr>
          <w:rFonts w:cstheme="minorHAnsi"/>
          <w:bCs/>
        </w:rPr>
        <w:t xml:space="preserve"> wiszacych</w:t>
      </w:r>
      <w:r w:rsidRPr="00732541">
        <w:rPr>
          <w:rFonts w:cstheme="minorHAnsi"/>
          <w:bCs/>
        </w:rPr>
        <w:t>:</w:t>
      </w:r>
    </w:p>
    <w:p w14:paraId="4EA883BF" w14:textId="77777777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Minimalna żywotność sprężyn gazowych 45 000 cykli</w:t>
      </w:r>
    </w:p>
    <w:p w14:paraId="31D318D8" w14:textId="74B8E301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Posiadanie  przez producenta sprężyn Normy </w:t>
      </w:r>
      <w:r w:rsidR="003E53F0" w:rsidRPr="00732541">
        <w:rPr>
          <w:rFonts w:cstheme="minorHAnsi"/>
          <w:bCs/>
        </w:rPr>
        <w:t>ISO/TS 16949</w:t>
      </w:r>
      <w:r w:rsidRPr="00732541">
        <w:rPr>
          <w:rFonts w:cstheme="minorHAnsi"/>
          <w:bCs/>
        </w:rPr>
        <w:t xml:space="preserve"> </w:t>
      </w:r>
    </w:p>
    <w:bookmarkEnd w:id="4"/>
    <w:p w14:paraId="0A6CE3E0" w14:textId="77777777" w:rsidR="00AD415B" w:rsidRPr="00732541" w:rsidRDefault="00AD415B" w:rsidP="00AD415B">
      <w:pPr>
        <w:pStyle w:val="Akapitzlist"/>
        <w:rPr>
          <w:rFonts w:cstheme="minorHAnsi"/>
          <w:bCs/>
        </w:rPr>
      </w:pPr>
    </w:p>
    <w:p w14:paraId="0E6EADD8" w14:textId="67C82DB4" w:rsidR="00AD415B" w:rsidRPr="00732541" w:rsidRDefault="00AD415B" w:rsidP="00D71F97">
      <w:pPr>
        <w:pStyle w:val="Akapitzlist"/>
        <w:numPr>
          <w:ilvl w:val="0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Oświetlenie</w:t>
      </w:r>
      <w:r w:rsidR="00F27105" w:rsidRPr="00732541">
        <w:rPr>
          <w:rFonts w:cstheme="minorHAnsi"/>
          <w:bCs/>
        </w:rPr>
        <w:t>:</w:t>
      </w:r>
    </w:p>
    <w:p w14:paraId="470FE40D" w14:textId="77777777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Oświetlenie gablot wolnostojących wysokich</w:t>
      </w:r>
    </w:p>
    <w:p w14:paraId="47ACA37C" w14:textId="50CBE19F" w:rsidR="00AD415B" w:rsidRPr="00732541" w:rsidRDefault="00AD415B" w:rsidP="00D71F97">
      <w:pPr>
        <w:pStyle w:val="Akapitzlist"/>
        <w:numPr>
          <w:ilvl w:val="2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Natężenie oświetlenia z jednego punktu świetlnego  ≥</w:t>
      </w:r>
      <w:r w:rsidR="00CE3927" w:rsidRPr="00732541">
        <w:rPr>
          <w:rFonts w:cstheme="minorHAnsi"/>
          <w:bCs/>
        </w:rPr>
        <w:t>7</w:t>
      </w:r>
      <w:r w:rsidR="009B4221" w:rsidRPr="00732541">
        <w:rPr>
          <w:rFonts w:cstheme="minorHAnsi"/>
          <w:bCs/>
        </w:rPr>
        <w:t>3</w:t>
      </w:r>
      <w:r w:rsidRPr="00732541">
        <w:rPr>
          <w:rFonts w:cstheme="minorHAnsi"/>
          <w:bCs/>
        </w:rPr>
        <w:t xml:space="preserve"> lm</w:t>
      </w:r>
    </w:p>
    <w:p w14:paraId="4508A0F1" w14:textId="77777777" w:rsidR="00AD415B" w:rsidRPr="00732541" w:rsidRDefault="00AD415B" w:rsidP="00D71F97">
      <w:pPr>
        <w:pStyle w:val="Akapitzlist"/>
        <w:numPr>
          <w:ilvl w:val="2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Współczynnik oddawania barw CRI≥90</w:t>
      </w:r>
    </w:p>
    <w:p w14:paraId="77130FAB" w14:textId="0F987471" w:rsidR="00AD415B" w:rsidRPr="00732541" w:rsidRDefault="00AD415B" w:rsidP="00D71F97">
      <w:pPr>
        <w:pStyle w:val="Akapitzlist"/>
        <w:numPr>
          <w:ilvl w:val="2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lastRenderedPageBreak/>
        <w:t>Temperatura barwowa w przedziale</w:t>
      </w:r>
      <w:r w:rsidR="001345BC" w:rsidRPr="00732541">
        <w:rPr>
          <w:rFonts w:cstheme="minorHAnsi"/>
          <w:bCs/>
        </w:rPr>
        <w:t xml:space="preserve"> </w:t>
      </w:r>
      <w:r w:rsidRPr="00732541">
        <w:rPr>
          <w:rFonts w:cstheme="minorHAnsi"/>
          <w:bCs/>
        </w:rPr>
        <w:t>2900-3200K</w:t>
      </w:r>
    </w:p>
    <w:p w14:paraId="314D1652" w14:textId="4D394414" w:rsidR="00AD415B" w:rsidRPr="00732541" w:rsidRDefault="00AD415B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Oświetlenie gablot </w:t>
      </w:r>
      <w:r w:rsidR="00060196" w:rsidRPr="00732541">
        <w:rPr>
          <w:rFonts w:cstheme="minorHAnsi"/>
          <w:bCs/>
        </w:rPr>
        <w:t>wiszacych</w:t>
      </w:r>
    </w:p>
    <w:p w14:paraId="755E23B9" w14:textId="77777777" w:rsidR="00AD415B" w:rsidRPr="00732541" w:rsidRDefault="00AD415B" w:rsidP="00D71F97">
      <w:pPr>
        <w:pStyle w:val="Akapitzlist"/>
        <w:numPr>
          <w:ilvl w:val="2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Minimalna moc z 1m taśmy LED &gt;9W/m</w:t>
      </w:r>
    </w:p>
    <w:p w14:paraId="378D6B8A" w14:textId="77777777" w:rsidR="00AD415B" w:rsidRPr="00732541" w:rsidRDefault="00AD415B" w:rsidP="00D71F97">
      <w:pPr>
        <w:pStyle w:val="Akapitzlist"/>
        <w:numPr>
          <w:ilvl w:val="2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Współczynnik oddawania barw CRI≥90</w:t>
      </w:r>
    </w:p>
    <w:p w14:paraId="4763665F" w14:textId="77777777" w:rsidR="00AD415B" w:rsidRPr="00732541" w:rsidRDefault="00AD415B" w:rsidP="00D71F97">
      <w:pPr>
        <w:pStyle w:val="Akapitzlist"/>
        <w:numPr>
          <w:ilvl w:val="2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>Temperatura barwowa w przedziale 2900-3200K</w:t>
      </w:r>
    </w:p>
    <w:p w14:paraId="4B5B312A" w14:textId="77777777" w:rsidR="0082672A" w:rsidRPr="00732541" w:rsidRDefault="0082672A" w:rsidP="0082672A">
      <w:pPr>
        <w:pStyle w:val="Akapitzlist"/>
        <w:ind w:left="1080"/>
        <w:rPr>
          <w:rFonts w:cstheme="minorHAnsi"/>
          <w:bCs/>
        </w:rPr>
      </w:pPr>
    </w:p>
    <w:p w14:paraId="0479EC42" w14:textId="77777777" w:rsidR="00AD415B" w:rsidRPr="00732541" w:rsidRDefault="00AD415B" w:rsidP="00D71F97">
      <w:pPr>
        <w:pStyle w:val="Akapitzlist"/>
        <w:numPr>
          <w:ilvl w:val="0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POJEMNIK NA SILIKAŻEL </w:t>
      </w:r>
    </w:p>
    <w:p w14:paraId="546944D7" w14:textId="6E44C0F8" w:rsidR="00AD415B" w:rsidRPr="00732541" w:rsidRDefault="003E780F" w:rsidP="00D71F97">
      <w:pPr>
        <w:pStyle w:val="Akapitzlist"/>
        <w:numPr>
          <w:ilvl w:val="1"/>
          <w:numId w:val="7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Wymagany jest </w:t>
      </w:r>
      <w:r w:rsidR="00132010" w:rsidRPr="00732541">
        <w:rPr>
          <w:rFonts w:cstheme="minorHAnsi"/>
          <w:bCs/>
        </w:rPr>
        <w:t>d</w:t>
      </w:r>
      <w:r w:rsidR="00AD415B" w:rsidRPr="00732541">
        <w:rPr>
          <w:rFonts w:cstheme="minorHAnsi"/>
          <w:bCs/>
        </w:rPr>
        <w:t xml:space="preserve">ostęp </w:t>
      </w:r>
      <w:r w:rsidR="00132010" w:rsidRPr="00732541">
        <w:rPr>
          <w:rFonts w:cstheme="minorHAnsi"/>
          <w:bCs/>
        </w:rPr>
        <w:t xml:space="preserve">do kaset z silikażelem </w:t>
      </w:r>
      <w:r w:rsidR="00AD415B" w:rsidRPr="00732541">
        <w:rPr>
          <w:rFonts w:cstheme="minorHAnsi"/>
          <w:bCs/>
        </w:rPr>
        <w:t>bez konieczności otwierania przestrzeni ekspozycyjnej</w:t>
      </w:r>
    </w:p>
    <w:p w14:paraId="6582D407" w14:textId="77777777" w:rsidR="00D71F97" w:rsidRPr="00732541" w:rsidRDefault="00D71F97" w:rsidP="00D71F97">
      <w:pPr>
        <w:pStyle w:val="Akapitzlist"/>
        <w:rPr>
          <w:rFonts w:cstheme="minorHAnsi"/>
          <w:bCs/>
        </w:rPr>
      </w:pPr>
    </w:p>
    <w:p w14:paraId="66E10F72" w14:textId="45F6915B" w:rsidR="00D71F97" w:rsidRDefault="00F212CF" w:rsidP="00D71F97">
      <w:pPr>
        <w:rPr>
          <w:rFonts w:asciiTheme="minorHAnsi" w:hAnsiTheme="minorHAnsi" w:cstheme="minorHAnsi"/>
          <w:b/>
        </w:rPr>
      </w:pPr>
      <w:bookmarkStart w:id="5" w:name="_Hlk1975822"/>
      <w:r w:rsidRPr="00F212CF">
        <w:rPr>
          <w:rFonts w:asciiTheme="minorHAnsi" w:hAnsiTheme="minorHAnsi" w:cstheme="minorHAnsi"/>
          <w:b/>
        </w:rPr>
        <w:t xml:space="preserve">4. </w:t>
      </w:r>
      <w:r w:rsidR="00D71F97" w:rsidRPr="00F212CF">
        <w:rPr>
          <w:rFonts w:asciiTheme="minorHAnsi" w:hAnsiTheme="minorHAnsi" w:cstheme="minorHAnsi"/>
          <w:b/>
        </w:rPr>
        <w:t xml:space="preserve">Charakterystyka techniczno-konserwatorska gablot </w:t>
      </w:r>
      <w:r>
        <w:rPr>
          <w:rFonts w:asciiTheme="minorHAnsi" w:hAnsiTheme="minorHAnsi" w:cstheme="minorHAnsi"/>
          <w:b/>
        </w:rPr>
        <w:t>wiszących:</w:t>
      </w:r>
    </w:p>
    <w:p w14:paraId="1C9B6D10" w14:textId="77777777" w:rsidR="00F212CF" w:rsidRPr="00F212CF" w:rsidRDefault="00F212CF" w:rsidP="00D71F97">
      <w:pPr>
        <w:rPr>
          <w:rFonts w:asciiTheme="minorHAnsi" w:hAnsiTheme="minorHAnsi" w:cstheme="minorHAnsi"/>
          <w:b/>
        </w:rPr>
      </w:pPr>
    </w:p>
    <w:p w14:paraId="08601075" w14:textId="4EA9A3B5" w:rsidR="00741259" w:rsidRPr="00732541" w:rsidRDefault="00741259" w:rsidP="00741259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732541">
        <w:rPr>
          <w:rFonts w:cstheme="minorHAnsi"/>
          <w:bCs/>
        </w:rPr>
        <w:t>Klosze szklane wykonane ze szkła bezpiecznego 44.4 z wewnętrz</w:t>
      </w:r>
      <w:r w:rsidR="00614EB6" w:rsidRPr="00732541">
        <w:rPr>
          <w:rFonts w:cstheme="minorHAnsi"/>
          <w:bCs/>
        </w:rPr>
        <w:t>n</w:t>
      </w:r>
      <w:r w:rsidRPr="00732541">
        <w:rPr>
          <w:rFonts w:cstheme="minorHAnsi"/>
          <w:bCs/>
        </w:rPr>
        <w:t xml:space="preserve">ą folią  PVB odcinającą </w:t>
      </w:r>
      <w:r w:rsidR="009B4221" w:rsidRPr="00732541">
        <w:rPr>
          <w:rFonts w:cstheme="minorHAnsi"/>
          <w:bCs/>
        </w:rPr>
        <w:t xml:space="preserve">co najmniej </w:t>
      </w:r>
      <w:r w:rsidRPr="00732541">
        <w:rPr>
          <w:rFonts w:cstheme="minorHAnsi"/>
          <w:bCs/>
        </w:rPr>
        <w:t>97% promieniowania UV</w:t>
      </w:r>
      <w:r w:rsidR="00B4285C" w:rsidRPr="00732541">
        <w:rPr>
          <w:rFonts w:cstheme="minorHAnsi"/>
          <w:bCs/>
        </w:rPr>
        <w:t>. Klosz wklejony w ramę</w:t>
      </w:r>
      <w:r w:rsidR="00244C70" w:rsidRPr="00732541">
        <w:rPr>
          <w:rFonts w:cstheme="minorHAnsi"/>
          <w:bCs/>
        </w:rPr>
        <w:t xml:space="preserve"> aluminiową</w:t>
      </w:r>
      <w:r w:rsidR="00B4285C" w:rsidRPr="00732541">
        <w:rPr>
          <w:rFonts w:cstheme="minorHAnsi"/>
          <w:bCs/>
        </w:rPr>
        <w:t>, podnoszony za pomocą sprężyn gazowych.</w:t>
      </w:r>
      <w:r w:rsidRPr="00732541">
        <w:rPr>
          <w:rFonts w:cstheme="minorHAnsi"/>
          <w:bCs/>
        </w:rPr>
        <w:t xml:space="preserve"> Krawędzie klejenia </w:t>
      </w:r>
      <w:r w:rsidR="00B4285C" w:rsidRPr="00732541">
        <w:rPr>
          <w:rFonts w:cstheme="minorHAnsi"/>
          <w:bCs/>
        </w:rPr>
        <w:t xml:space="preserve">klosza </w:t>
      </w:r>
      <w:r w:rsidRPr="00732541">
        <w:rPr>
          <w:rFonts w:cstheme="minorHAnsi"/>
          <w:bCs/>
        </w:rPr>
        <w:t>powinny być szlifowane pod kątem 45</w:t>
      </w:r>
      <w:r w:rsidR="0021085E" w:rsidRPr="00732541">
        <w:rPr>
          <w:rFonts w:cstheme="minorHAnsi"/>
          <w:bCs/>
        </w:rPr>
        <w:t>°</w:t>
      </w:r>
      <w:r w:rsidRPr="00732541">
        <w:rPr>
          <w:rFonts w:cstheme="minorHAnsi"/>
          <w:bCs/>
        </w:rPr>
        <w:t xml:space="preserve">, klejone klejem UV. </w:t>
      </w:r>
    </w:p>
    <w:p w14:paraId="686419EA" w14:textId="5CFA3EE7" w:rsidR="00741259" w:rsidRPr="00732541" w:rsidRDefault="00741259" w:rsidP="00741259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Gabloty </w:t>
      </w:r>
      <w:r w:rsidR="00AC3B04" w:rsidRPr="00732541">
        <w:rPr>
          <w:rFonts w:cstheme="minorHAnsi"/>
          <w:bCs/>
        </w:rPr>
        <w:t>muszą</w:t>
      </w:r>
      <w:r w:rsidRPr="00732541">
        <w:rPr>
          <w:rFonts w:cstheme="minorHAnsi"/>
          <w:bCs/>
        </w:rPr>
        <w:t xml:space="preserve"> być zabezpieczone zamkami z certyfikowaną wkładką </w:t>
      </w:r>
      <w:r w:rsidR="00035113" w:rsidRPr="00732541">
        <w:rPr>
          <w:rFonts w:cstheme="minorHAnsi"/>
          <w:bCs/>
        </w:rPr>
        <w:t>bębenkową</w:t>
      </w:r>
      <w:r w:rsidR="00B4285C" w:rsidRPr="00732541">
        <w:rPr>
          <w:rFonts w:cstheme="minorHAnsi"/>
          <w:bCs/>
        </w:rPr>
        <w:t xml:space="preserve"> </w:t>
      </w:r>
      <w:r w:rsidRPr="00732541">
        <w:rPr>
          <w:rFonts w:cstheme="minorHAnsi"/>
          <w:bCs/>
        </w:rPr>
        <w:t xml:space="preserve"> o podwyższonej odporności na włamania w klasie B. Klucze do zamków </w:t>
      </w:r>
      <w:r w:rsidR="00AC3B04" w:rsidRPr="00732541">
        <w:rPr>
          <w:rFonts w:cstheme="minorHAnsi"/>
          <w:bCs/>
        </w:rPr>
        <w:t>będą</w:t>
      </w:r>
      <w:r w:rsidRPr="00732541">
        <w:rPr>
          <w:rFonts w:cstheme="minorHAnsi"/>
          <w:bCs/>
        </w:rPr>
        <w:t xml:space="preserve"> zabezpieczone kodami uniemożliwiające ich kopiowanie bez znajomości kodu. Jeden klucz do wszystkich gablot.</w:t>
      </w:r>
    </w:p>
    <w:p w14:paraId="634315CD" w14:textId="28F5A1B6" w:rsidR="00741259" w:rsidRPr="00732541" w:rsidRDefault="00741259" w:rsidP="00741259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Oświetlenie </w:t>
      </w:r>
      <w:r w:rsidR="00132010" w:rsidRPr="00732541">
        <w:rPr>
          <w:rFonts w:cstheme="minorHAnsi"/>
          <w:bCs/>
        </w:rPr>
        <w:t xml:space="preserve">wewnętrzne </w:t>
      </w:r>
      <w:r w:rsidRPr="00732541">
        <w:rPr>
          <w:rFonts w:cstheme="minorHAnsi"/>
          <w:bCs/>
        </w:rPr>
        <w:t>gablot</w:t>
      </w:r>
      <w:r w:rsidR="00132010" w:rsidRPr="00732541">
        <w:rPr>
          <w:rFonts w:cstheme="minorHAnsi"/>
          <w:bCs/>
        </w:rPr>
        <w:t xml:space="preserve"> należy zapewnić przy pomocy</w:t>
      </w:r>
      <w:r w:rsidR="00614EB6" w:rsidRPr="00732541">
        <w:rPr>
          <w:rFonts w:cstheme="minorHAnsi"/>
          <w:bCs/>
        </w:rPr>
        <w:t xml:space="preserve"> </w:t>
      </w:r>
      <w:r w:rsidRPr="00732541">
        <w:rPr>
          <w:rFonts w:cstheme="minorHAnsi"/>
          <w:bCs/>
        </w:rPr>
        <w:t xml:space="preserve">diod LED w temperaturze bieli </w:t>
      </w:r>
      <w:r w:rsidR="001345BC" w:rsidRPr="00732541">
        <w:rPr>
          <w:rFonts w:cstheme="minorHAnsi"/>
          <w:bCs/>
        </w:rPr>
        <w:t>w przedziale 2900-3200K</w:t>
      </w:r>
      <w:r w:rsidR="001345BC" w:rsidRPr="00732541" w:rsidDel="001345BC">
        <w:rPr>
          <w:rFonts w:cstheme="minorHAnsi"/>
          <w:bCs/>
        </w:rPr>
        <w:t xml:space="preserve"> </w:t>
      </w:r>
      <w:r w:rsidRPr="00732541">
        <w:rPr>
          <w:rFonts w:cstheme="minorHAnsi"/>
          <w:bCs/>
        </w:rPr>
        <w:t>umiejscowion</w:t>
      </w:r>
      <w:r w:rsidR="00132010" w:rsidRPr="00732541">
        <w:rPr>
          <w:rFonts w:cstheme="minorHAnsi"/>
          <w:bCs/>
        </w:rPr>
        <w:t xml:space="preserve">ych </w:t>
      </w:r>
      <w:r w:rsidRPr="00732541">
        <w:rPr>
          <w:rFonts w:cstheme="minorHAnsi"/>
          <w:bCs/>
        </w:rPr>
        <w:t xml:space="preserve">wzdłuż </w:t>
      </w:r>
      <w:r w:rsidR="0021085E" w:rsidRPr="00732541">
        <w:rPr>
          <w:rFonts w:cstheme="minorHAnsi"/>
          <w:bCs/>
        </w:rPr>
        <w:t>przednich,</w:t>
      </w:r>
      <w:r w:rsidRPr="00732541">
        <w:rPr>
          <w:rFonts w:cstheme="minorHAnsi"/>
          <w:bCs/>
        </w:rPr>
        <w:t xml:space="preserve"> tylnych i bocznych ściankach kloszy. </w:t>
      </w:r>
      <w:r w:rsidR="0021085E" w:rsidRPr="00732541">
        <w:rPr>
          <w:rFonts w:cstheme="minorHAnsi"/>
          <w:bCs/>
        </w:rPr>
        <w:t xml:space="preserve">Diody należy zamontować w oprawie umożliwiającej zmianę kąta świecenia. </w:t>
      </w:r>
      <w:r w:rsidRPr="00732541">
        <w:rPr>
          <w:rFonts w:cstheme="minorHAnsi"/>
          <w:bCs/>
        </w:rPr>
        <w:t xml:space="preserve">Oświetlenie </w:t>
      </w:r>
      <w:r w:rsidR="00132010" w:rsidRPr="00732541">
        <w:rPr>
          <w:rFonts w:cstheme="minorHAnsi"/>
          <w:bCs/>
        </w:rPr>
        <w:t xml:space="preserve">należy wykonać </w:t>
      </w:r>
      <w:r w:rsidRPr="00732541">
        <w:rPr>
          <w:rFonts w:cstheme="minorHAnsi"/>
          <w:bCs/>
        </w:rPr>
        <w:t>z możliwością  regulacji natężenia światła</w:t>
      </w:r>
      <w:r w:rsidR="0021085E" w:rsidRPr="00732541">
        <w:rPr>
          <w:rFonts w:cstheme="minorHAnsi"/>
          <w:bCs/>
        </w:rPr>
        <w:t>.</w:t>
      </w:r>
      <w:r w:rsidRPr="00732541">
        <w:rPr>
          <w:rFonts w:cstheme="minorHAnsi"/>
          <w:bCs/>
        </w:rPr>
        <w:t xml:space="preserve"> </w:t>
      </w:r>
    </w:p>
    <w:p w14:paraId="1FA8339D" w14:textId="6387831E" w:rsidR="00614EB6" w:rsidRPr="00732541" w:rsidRDefault="00614EB6" w:rsidP="00741259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Wnętrze gabloty </w:t>
      </w:r>
      <w:r w:rsidR="00132010" w:rsidRPr="00732541">
        <w:rPr>
          <w:rFonts w:cstheme="minorHAnsi"/>
          <w:bCs/>
        </w:rPr>
        <w:t xml:space="preserve">powinno być </w:t>
      </w:r>
      <w:r w:rsidRPr="00732541">
        <w:rPr>
          <w:rFonts w:cstheme="minorHAnsi"/>
          <w:bCs/>
        </w:rPr>
        <w:t>wykonane z materiałów spełniających test Oddy.</w:t>
      </w:r>
    </w:p>
    <w:p w14:paraId="74ADFCF9" w14:textId="77777777" w:rsidR="00614EB6" w:rsidRPr="00732541" w:rsidRDefault="00614EB6" w:rsidP="00741259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732541">
        <w:rPr>
          <w:rFonts w:cstheme="minorHAnsi"/>
          <w:bCs/>
        </w:rPr>
        <w:t>Korpusy gablot oraz wkłady ekspozycyjne muszą być pomalowane w kolorze uzgodnionym z projektantem wystawy.</w:t>
      </w:r>
    </w:p>
    <w:p w14:paraId="51CEC07C" w14:textId="50467CDA" w:rsidR="00614EB6" w:rsidRPr="00732541" w:rsidRDefault="00614EB6" w:rsidP="00741259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Gabloty muszą być </w:t>
      </w:r>
      <w:r w:rsidR="00090902" w:rsidRPr="00732541">
        <w:rPr>
          <w:rFonts w:cstheme="minorHAnsi"/>
          <w:bCs/>
        </w:rPr>
        <w:t xml:space="preserve">przystosowane do montażu bezprzewodowej czujki magnetycznych wraz z kontaktorem oraz bezprzewodowej czujki przemieszczenia wskazanych przez Zamawiającego. </w:t>
      </w:r>
      <w:r w:rsidR="009F546B" w:rsidRPr="00732541">
        <w:rPr>
          <w:rFonts w:cstheme="minorHAnsi"/>
          <w:bCs/>
        </w:rPr>
        <w:t xml:space="preserve"> </w:t>
      </w:r>
    </w:p>
    <w:p w14:paraId="03BB41C6" w14:textId="0137ECCB" w:rsidR="00614EB6" w:rsidRPr="00732541" w:rsidRDefault="00090902" w:rsidP="00741259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Gabloty muszą być przystosowane do montażu </w:t>
      </w:r>
      <w:r w:rsidR="00614EB6" w:rsidRPr="00732541">
        <w:rPr>
          <w:rFonts w:cstheme="minorHAnsi"/>
          <w:bCs/>
        </w:rPr>
        <w:t>rejestrator</w:t>
      </w:r>
      <w:r w:rsidRPr="00732541">
        <w:rPr>
          <w:rFonts w:cstheme="minorHAnsi"/>
          <w:bCs/>
        </w:rPr>
        <w:t>a</w:t>
      </w:r>
      <w:r w:rsidR="00614EB6" w:rsidRPr="00732541">
        <w:rPr>
          <w:rFonts w:cstheme="minorHAnsi"/>
          <w:bCs/>
        </w:rPr>
        <w:t xml:space="preserve"> pomiaru wilgotności i temperatury</w:t>
      </w:r>
      <w:r w:rsidR="00B4285C" w:rsidRPr="00732541">
        <w:rPr>
          <w:rFonts w:cstheme="minorHAnsi"/>
          <w:bCs/>
        </w:rPr>
        <w:t xml:space="preserve"> </w:t>
      </w:r>
      <w:r w:rsidRPr="00732541">
        <w:rPr>
          <w:rFonts w:cstheme="minorHAnsi"/>
          <w:bCs/>
        </w:rPr>
        <w:t xml:space="preserve">wskazanego przez Zamawiającego. </w:t>
      </w:r>
    </w:p>
    <w:p w14:paraId="41D6EB8C" w14:textId="7741D80E" w:rsidR="00002E96" w:rsidRPr="00732541" w:rsidRDefault="00002E96" w:rsidP="00002E96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Wymagana szczelność </w:t>
      </w:r>
      <w:r w:rsidR="00132010" w:rsidRPr="00732541">
        <w:rPr>
          <w:rFonts w:cstheme="minorHAnsi"/>
          <w:bCs/>
        </w:rPr>
        <w:t xml:space="preserve">gablot po zamknięciu powinna być na </w:t>
      </w:r>
      <w:r w:rsidRPr="00732541">
        <w:rPr>
          <w:rFonts w:cstheme="minorHAnsi"/>
          <w:bCs/>
        </w:rPr>
        <w:t>na poziomie ACD&lt; 0.2, co oznacza nie więcej niż jedną wymianę powietrza w gablocie raz na 5 pełnych dób.</w:t>
      </w:r>
    </w:p>
    <w:p w14:paraId="1F80DD7C" w14:textId="2C82A68B" w:rsidR="008462D2" w:rsidRPr="00732541" w:rsidRDefault="008462D2" w:rsidP="008462D2">
      <w:pPr>
        <w:pStyle w:val="Akapitzlist"/>
        <w:numPr>
          <w:ilvl w:val="0"/>
          <w:numId w:val="8"/>
        </w:numPr>
        <w:rPr>
          <w:rFonts w:cstheme="minorHAnsi"/>
          <w:bCs/>
        </w:rPr>
      </w:pPr>
      <w:r w:rsidRPr="00732541">
        <w:rPr>
          <w:rFonts w:cstheme="minorHAnsi"/>
          <w:bCs/>
        </w:rPr>
        <w:t>Przed przystąpieniem do produkcji gablot należy przygotować dokumentację warsztatową i przekazać Zamawiającemu do akceptacji</w:t>
      </w:r>
      <w:r w:rsidR="00887340" w:rsidRPr="00732541">
        <w:rPr>
          <w:rFonts w:cstheme="minorHAnsi"/>
          <w:bCs/>
        </w:rPr>
        <w:t>.</w:t>
      </w:r>
      <w:r w:rsidRPr="00732541">
        <w:rPr>
          <w:rFonts w:cstheme="minorHAnsi"/>
          <w:bCs/>
        </w:rPr>
        <w:t xml:space="preserve"> Dokumentacja warsztatowa musi zawierać: </w:t>
      </w:r>
    </w:p>
    <w:p w14:paraId="29B94952" w14:textId="77777777" w:rsidR="00002E96" w:rsidRPr="00732541" w:rsidRDefault="00002E96" w:rsidP="00002E96">
      <w:pPr>
        <w:pStyle w:val="Akapitzlist"/>
        <w:numPr>
          <w:ilvl w:val="1"/>
          <w:numId w:val="8"/>
        </w:numPr>
        <w:rPr>
          <w:rFonts w:cstheme="minorHAnsi"/>
          <w:bCs/>
        </w:rPr>
      </w:pPr>
      <w:r w:rsidRPr="00732541">
        <w:rPr>
          <w:rFonts w:cstheme="minorHAnsi"/>
          <w:bCs/>
        </w:rPr>
        <w:t>Przedstawienie przyjętych materiałów</w:t>
      </w:r>
    </w:p>
    <w:p w14:paraId="443E9CA4" w14:textId="77777777" w:rsidR="00002E96" w:rsidRPr="00732541" w:rsidRDefault="00002E96" w:rsidP="00002E96">
      <w:pPr>
        <w:pStyle w:val="Akapitzlist"/>
        <w:numPr>
          <w:ilvl w:val="1"/>
          <w:numId w:val="8"/>
        </w:numPr>
        <w:rPr>
          <w:rFonts w:cstheme="minorHAnsi"/>
          <w:bCs/>
        </w:rPr>
      </w:pPr>
      <w:r w:rsidRPr="00732541">
        <w:rPr>
          <w:rFonts w:cstheme="minorHAnsi"/>
          <w:bCs/>
        </w:rPr>
        <w:t>Wymiary wewnętrzne i zewnętrzne</w:t>
      </w:r>
    </w:p>
    <w:p w14:paraId="310C0EDA" w14:textId="053A12A3" w:rsidR="00002E96" w:rsidRPr="00732541" w:rsidRDefault="00002E96" w:rsidP="00002E96">
      <w:pPr>
        <w:pStyle w:val="Akapitzlist"/>
        <w:numPr>
          <w:ilvl w:val="1"/>
          <w:numId w:val="8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Rodzaj okuć i </w:t>
      </w:r>
      <w:r w:rsidR="005F6BB9" w:rsidRPr="00732541">
        <w:rPr>
          <w:rFonts w:cstheme="minorHAnsi"/>
          <w:bCs/>
        </w:rPr>
        <w:t xml:space="preserve">sposób </w:t>
      </w:r>
      <w:r w:rsidRPr="00732541">
        <w:rPr>
          <w:rFonts w:cstheme="minorHAnsi"/>
          <w:bCs/>
        </w:rPr>
        <w:t>ich montażu</w:t>
      </w:r>
    </w:p>
    <w:p w14:paraId="36A2A1C7" w14:textId="77777777" w:rsidR="00002E96" w:rsidRPr="00732541" w:rsidRDefault="00002E96" w:rsidP="00002E96">
      <w:pPr>
        <w:pStyle w:val="Akapitzlist"/>
        <w:numPr>
          <w:ilvl w:val="1"/>
          <w:numId w:val="8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Dostęp do zamka </w:t>
      </w:r>
    </w:p>
    <w:p w14:paraId="18252E4E" w14:textId="77777777" w:rsidR="00002E96" w:rsidRPr="00732541" w:rsidRDefault="00002E96" w:rsidP="00002E96">
      <w:pPr>
        <w:pStyle w:val="Akapitzlist"/>
        <w:numPr>
          <w:ilvl w:val="1"/>
          <w:numId w:val="8"/>
        </w:numPr>
        <w:rPr>
          <w:rFonts w:cstheme="minorHAnsi"/>
          <w:bCs/>
        </w:rPr>
      </w:pPr>
      <w:r w:rsidRPr="00732541">
        <w:rPr>
          <w:rFonts w:cstheme="minorHAnsi"/>
          <w:bCs/>
        </w:rPr>
        <w:t>Dostęp do pojemnika na absorber</w:t>
      </w:r>
    </w:p>
    <w:p w14:paraId="656E2619" w14:textId="4C03C95C" w:rsidR="00002E96" w:rsidRPr="00732541" w:rsidRDefault="00002E96" w:rsidP="00002E96">
      <w:pPr>
        <w:pStyle w:val="Akapitzlist"/>
        <w:numPr>
          <w:ilvl w:val="1"/>
          <w:numId w:val="8"/>
        </w:numPr>
        <w:rPr>
          <w:rFonts w:cstheme="minorHAnsi"/>
          <w:bCs/>
        </w:rPr>
      </w:pPr>
      <w:r w:rsidRPr="00732541">
        <w:rPr>
          <w:rFonts w:cstheme="minorHAnsi"/>
          <w:bCs/>
        </w:rPr>
        <w:t>Rewizje techniczne</w:t>
      </w:r>
    </w:p>
    <w:p w14:paraId="1F22E3E9" w14:textId="7927206B" w:rsidR="004B48CC" w:rsidRDefault="00F212CF" w:rsidP="004B48C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5. </w:t>
      </w:r>
      <w:r w:rsidR="00C14A44" w:rsidRPr="00F212CF">
        <w:rPr>
          <w:rFonts w:asciiTheme="minorHAnsi" w:hAnsiTheme="minorHAnsi" w:cstheme="minorHAnsi"/>
          <w:b/>
        </w:rPr>
        <w:t>Charakterystyka techniczno-konserwatorska gablot wolnostojących</w:t>
      </w:r>
      <w:r>
        <w:rPr>
          <w:rFonts w:asciiTheme="minorHAnsi" w:hAnsiTheme="minorHAnsi" w:cstheme="minorHAnsi"/>
          <w:b/>
        </w:rPr>
        <w:t>:</w:t>
      </w:r>
    </w:p>
    <w:p w14:paraId="6D13B07D" w14:textId="77777777" w:rsidR="00F212CF" w:rsidRPr="00F212CF" w:rsidRDefault="00F212CF" w:rsidP="004B48CC">
      <w:pPr>
        <w:rPr>
          <w:rFonts w:asciiTheme="minorHAnsi" w:hAnsiTheme="minorHAnsi" w:cstheme="minorHAnsi"/>
          <w:b/>
        </w:rPr>
      </w:pPr>
    </w:p>
    <w:p w14:paraId="1CA40A07" w14:textId="7A1855F9" w:rsidR="009D3CA8" w:rsidRPr="00732541" w:rsidRDefault="009D3CA8" w:rsidP="00156C70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Korpus gabloty stanowi szkło bezpieczne </w:t>
      </w:r>
      <w:r w:rsidR="006E2A7F" w:rsidRPr="00732541">
        <w:rPr>
          <w:rFonts w:cstheme="minorHAnsi"/>
          <w:bCs/>
        </w:rPr>
        <w:t>55.4</w:t>
      </w:r>
      <w:r w:rsidRPr="00732541">
        <w:rPr>
          <w:rFonts w:cstheme="minorHAnsi"/>
          <w:bCs/>
        </w:rPr>
        <w:t xml:space="preserve"> z wewnętrzną folią  PVB odcinającą</w:t>
      </w:r>
      <w:r w:rsidR="009B4221" w:rsidRPr="00732541">
        <w:rPr>
          <w:rFonts w:cstheme="minorHAnsi"/>
          <w:bCs/>
        </w:rPr>
        <w:t xml:space="preserve"> co najmniej</w:t>
      </w:r>
      <w:r w:rsidRPr="00732541">
        <w:rPr>
          <w:rFonts w:cstheme="minorHAnsi"/>
          <w:bCs/>
        </w:rPr>
        <w:t xml:space="preserve"> 97% promieniowania UV.  Krawędzie </w:t>
      </w:r>
      <w:r w:rsidR="006E2A7F" w:rsidRPr="00732541">
        <w:rPr>
          <w:rFonts w:cstheme="minorHAnsi"/>
          <w:bCs/>
        </w:rPr>
        <w:t xml:space="preserve">szkła </w:t>
      </w:r>
      <w:r w:rsidRPr="00732541">
        <w:rPr>
          <w:rFonts w:cstheme="minorHAnsi"/>
          <w:bCs/>
        </w:rPr>
        <w:t>szlifowane pod kątem 90°</w:t>
      </w:r>
      <w:r w:rsidR="006E2A7F" w:rsidRPr="00732541">
        <w:rPr>
          <w:rFonts w:cstheme="minorHAnsi"/>
          <w:bCs/>
        </w:rPr>
        <w:t>.</w:t>
      </w:r>
    </w:p>
    <w:p w14:paraId="5C21774C" w14:textId="182784B0" w:rsidR="009D3CA8" w:rsidRPr="00732541" w:rsidRDefault="009D3CA8" w:rsidP="009D3CA8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Gabloty mają posiadać drzwi zabezpieczone zamkami z certyfikowaną wkładką </w:t>
      </w:r>
      <w:r w:rsidR="00035113" w:rsidRPr="00732541">
        <w:rPr>
          <w:rFonts w:cstheme="minorHAnsi"/>
          <w:bCs/>
        </w:rPr>
        <w:t>bębenkową</w:t>
      </w:r>
      <w:r w:rsidRPr="00732541">
        <w:rPr>
          <w:rFonts w:cstheme="minorHAnsi"/>
          <w:bCs/>
        </w:rPr>
        <w:t xml:space="preserve"> o podwyższonej odporności na włamania w klasie B. Klucze do zamków </w:t>
      </w:r>
      <w:r w:rsidR="006E2A7F" w:rsidRPr="00732541">
        <w:rPr>
          <w:rFonts w:cstheme="minorHAnsi"/>
          <w:bCs/>
        </w:rPr>
        <w:t>muszą</w:t>
      </w:r>
      <w:r w:rsidRPr="00732541">
        <w:rPr>
          <w:rFonts w:cstheme="minorHAnsi"/>
          <w:bCs/>
        </w:rPr>
        <w:t xml:space="preserve"> być zabezpieczone kodami uniemożliwiające ich kopiowanie bez znajomości kodu. </w:t>
      </w:r>
      <w:r w:rsidR="005F6BB9" w:rsidRPr="00732541">
        <w:rPr>
          <w:rFonts w:cstheme="minorHAnsi"/>
          <w:bCs/>
        </w:rPr>
        <w:t>Należy zapewnić j</w:t>
      </w:r>
      <w:r w:rsidRPr="00732541">
        <w:rPr>
          <w:rFonts w:cstheme="minorHAnsi"/>
          <w:bCs/>
        </w:rPr>
        <w:t>eden klucz do wszystkich gablot.</w:t>
      </w:r>
    </w:p>
    <w:p w14:paraId="65DB4526" w14:textId="77777777" w:rsidR="003E60BC" w:rsidRPr="00732541" w:rsidRDefault="009D3CA8" w:rsidP="003E60BC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Oświetlenie </w:t>
      </w:r>
      <w:r w:rsidR="006E2A7F" w:rsidRPr="00732541">
        <w:rPr>
          <w:rFonts w:cstheme="minorHAnsi"/>
          <w:bCs/>
        </w:rPr>
        <w:t xml:space="preserve">gabloty </w:t>
      </w:r>
      <w:r w:rsidR="005F6BB9" w:rsidRPr="00732541">
        <w:rPr>
          <w:rFonts w:cstheme="minorHAnsi"/>
          <w:bCs/>
        </w:rPr>
        <w:t xml:space="preserve">mają stanowić </w:t>
      </w:r>
      <w:r w:rsidR="006E2A7F" w:rsidRPr="00732541">
        <w:rPr>
          <w:rFonts w:cstheme="minorHAnsi"/>
          <w:bCs/>
        </w:rPr>
        <w:t xml:space="preserve">oprawy LED w temperaturze bieli </w:t>
      </w:r>
      <w:r w:rsidR="001345BC" w:rsidRPr="00732541">
        <w:rPr>
          <w:rFonts w:cstheme="minorHAnsi"/>
          <w:bCs/>
        </w:rPr>
        <w:t>w przedziale 2900-3200K</w:t>
      </w:r>
      <w:r w:rsidR="006E2A7F" w:rsidRPr="00732541">
        <w:rPr>
          <w:rFonts w:cstheme="minorHAnsi"/>
          <w:bCs/>
        </w:rPr>
        <w:t xml:space="preserve">, </w:t>
      </w:r>
    </w:p>
    <w:p w14:paraId="6240ACBF" w14:textId="77777777" w:rsidR="009D3CA8" w:rsidRPr="00732541" w:rsidRDefault="009D3CA8" w:rsidP="009D3CA8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Wnętrze gabloty </w:t>
      </w:r>
      <w:r w:rsidR="006E2A7F" w:rsidRPr="00732541">
        <w:rPr>
          <w:rFonts w:cstheme="minorHAnsi"/>
          <w:bCs/>
        </w:rPr>
        <w:t>należy</w:t>
      </w:r>
      <w:r w:rsidRPr="00732541">
        <w:rPr>
          <w:rFonts w:cstheme="minorHAnsi"/>
          <w:bCs/>
        </w:rPr>
        <w:t xml:space="preserve"> wykona</w:t>
      </w:r>
      <w:r w:rsidR="006E2A7F" w:rsidRPr="00732541">
        <w:rPr>
          <w:rFonts w:cstheme="minorHAnsi"/>
          <w:bCs/>
        </w:rPr>
        <w:t>ć</w:t>
      </w:r>
      <w:r w:rsidRPr="00732541">
        <w:rPr>
          <w:rFonts w:cstheme="minorHAnsi"/>
          <w:bCs/>
        </w:rPr>
        <w:t xml:space="preserve"> z materiałów spełniających testy Oddy.</w:t>
      </w:r>
    </w:p>
    <w:p w14:paraId="66300748" w14:textId="350B2A35" w:rsidR="009D3CA8" w:rsidRPr="00732541" w:rsidRDefault="009D3CA8" w:rsidP="009D3CA8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Gabloty </w:t>
      </w:r>
      <w:r w:rsidR="006E2A7F" w:rsidRPr="00732541">
        <w:rPr>
          <w:rFonts w:cstheme="minorHAnsi"/>
          <w:bCs/>
        </w:rPr>
        <w:t>muszą</w:t>
      </w:r>
      <w:r w:rsidRPr="00732541">
        <w:rPr>
          <w:rFonts w:cstheme="minorHAnsi"/>
          <w:bCs/>
        </w:rPr>
        <w:t xml:space="preserve"> być wyposażone w pojemniki na silikażel umiejscowione pod podstawą ekspozycyjną z dostępem </w:t>
      </w:r>
      <w:r w:rsidR="00174A48" w:rsidRPr="00732541">
        <w:rPr>
          <w:rFonts w:cstheme="minorHAnsi"/>
          <w:bCs/>
        </w:rPr>
        <w:t xml:space="preserve">do tych pojemników </w:t>
      </w:r>
      <w:r w:rsidRPr="00732541">
        <w:rPr>
          <w:rFonts w:cstheme="minorHAnsi"/>
          <w:bCs/>
        </w:rPr>
        <w:t>bez konieczności otwierania gabloty.</w:t>
      </w:r>
    </w:p>
    <w:p w14:paraId="5B944493" w14:textId="77777777" w:rsidR="009D3CA8" w:rsidRPr="00732541" w:rsidRDefault="009D3CA8" w:rsidP="009D3CA8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>Korpusy gablot muszą być wyposażone w stopki regulujące poziom gablot do wys. 7 cm .</w:t>
      </w:r>
    </w:p>
    <w:p w14:paraId="62179910" w14:textId="77777777" w:rsidR="009D3CA8" w:rsidRPr="00732541" w:rsidRDefault="009D3CA8" w:rsidP="009D3CA8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>Korpusy i górne wieńce gablot oraz wkłady eksp</w:t>
      </w:r>
      <w:r w:rsidR="002F1798" w:rsidRPr="00732541">
        <w:rPr>
          <w:rFonts w:cstheme="minorHAnsi"/>
          <w:bCs/>
        </w:rPr>
        <w:t>o</w:t>
      </w:r>
      <w:r w:rsidRPr="00732541">
        <w:rPr>
          <w:rFonts w:cstheme="minorHAnsi"/>
          <w:bCs/>
        </w:rPr>
        <w:t>zycyjne mają być pomalowane w kolorze uzgodnionym z projektantem wystawy.</w:t>
      </w:r>
    </w:p>
    <w:p w14:paraId="4AD098FA" w14:textId="6488A8E7" w:rsidR="006E2A7F" w:rsidRPr="00732541" w:rsidRDefault="006E2A7F" w:rsidP="00C14A44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lastRenderedPageBreak/>
        <w:t>Dodatkowe wyposażenie gablot ma</w:t>
      </w:r>
      <w:r w:rsidR="00174A48" w:rsidRPr="00732541">
        <w:rPr>
          <w:rFonts w:cstheme="minorHAnsi"/>
          <w:bCs/>
        </w:rPr>
        <w:t>ją</w:t>
      </w:r>
      <w:r w:rsidRPr="00732541">
        <w:rPr>
          <w:rFonts w:cstheme="minorHAnsi"/>
          <w:bCs/>
        </w:rPr>
        <w:t xml:space="preserve"> stanowić</w:t>
      </w:r>
      <w:r w:rsidR="00A12000" w:rsidRPr="00732541">
        <w:rPr>
          <w:rFonts w:cstheme="minorHAnsi"/>
          <w:bCs/>
        </w:rPr>
        <w:t>:</w:t>
      </w:r>
    </w:p>
    <w:p w14:paraId="3F899027" w14:textId="77777777" w:rsidR="006E2A7F" w:rsidRPr="00732541" w:rsidRDefault="00A12000" w:rsidP="006E2A7F">
      <w:pPr>
        <w:pStyle w:val="Akapitzlist"/>
        <w:numPr>
          <w:ilvl w:val="1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uchwyty mocujące półki szklane wraz z </w:t>
      </w:r>
      <w:r w:rsidR="006E2A7F" w:rsidRPr="00732541">
        <w:rPr>
          <w:rFonts w:cstheme="minorHAnsi"/>
          <w:bCs/>
        </w:rPr>
        <w:t xml:space="preserve">trzema </w:t>
      </w:r>
      <w:r w:rsidRPr="00732541">
        <w:rPr>
          <w:rFonts w:cstheme="minorHAnsi"/>
          <w:bCs/>
        </w:rPr>
        <w:t>półkami</w:t>
      </w:r>
      <w:r w:rsidR="006E2A7F" w:rsidRPr="00732541">
        <w:rPr>
          <w:rFonts w:cstheme="minorHAnsi"/>
          <w:bCs/>
        </w:rPr>
        <w:tab/>
      </w:r>
    </w:p>
    <w:p w14:paraId="1B6C0023" w14:textId="77777777" w:rsidR="009D3CA8" w:rsidRPr="00732541" w:rsidRDefault="00A12000" w:rsidP="006E2A7F">
      <w:pPr>
        <w:pStyle w:val="Akapitzlist"/>
        <w:numPr>
          <w:ilvl w:val="1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relingi zamocowane do górnego wieńca, umożliwiające podwieszenie eksponatów. </w:t>
      </w:r>
    </w:p>
    <w:p w14:paraId="06E2DE97" w14:textId="77777777" w:rsidR="00090902" w:rsidRPr="00732541" w:rsidRDefault="00090902" w:rsidP="00090902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Gabloty muszą być przystosowane do montażu bezprzewodowej czujki magnetycznych wraz z kontaktorem oraz bezprzewodowej czujki przemieszczenia wskazanych przez Zamawiającego.  </w:t>
      </w:r>
    </w:p>
    <w:p w14:paraId="6D0A123E" w14:textId="3D6C3731" w:rsidR="00E26FA9" w:rsidRPr="00732541" w:rsidRDefault="00090902" w:rsidP="003E60BC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Gabloty muszą być przystosowane do montażu rejestratora pomiaru wilgotności i temperatury wskazanego przez Zamawiającego. </w:t>
      </w:r>
    </w:p>
    <w:p w14:paraId="103C4127" w14:textId="77777777" w:rsidR="00037C3A" w:rsidRPr="00732541" w:rsidRDefault="00E26FA9" w:rsidP="00037C3A">
      <w:pPr>
        <w:pStyle w:val="Akapitzlist"/>
        <w:numPr>
          <w:ilvl w:val="0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Wymagana szczelność </w:t>
      </w:r>
      <w:r w:rsidR="00146F32" w:rsidRPr="00732541">
        <w:rPr>
          <w:rFonts w:cstheme="minorHAnsi"/>
          <w:bCs/>
        </w:rPr>
        <w:t xml:space="preserve">gabloty to </w:t>
      </w:r>
      <w:r w:rsidRPr="00732541">
        <w:rPr>
          <w:rFonts w:cstheme="minorHAnsi"/>
          <w:bCs/>
        </w:rPr>
        <w:t>poziom</w:t>
      </w:r>
      <w:r w:rsidR="00002E96" w:rsidRPr="00732541">
        <w:rPr>
          <w:rFonts w:cstheme="minorHAnsi"/>
          <w:bCs/>
        </w:rPr>
        <w:t xml:space="preserve"> ACD&lt;</w:t>
      </w:r>
      <w:r w:rsidRPr="00732541">
        <w:rPr>
          <w:rFonts w:cstheme="minorHAnsi"/>
          <w:bCs/>
        </w:rPr>
        <w:t xml:space="preserve"> 0</w:t>
      </w:r>
      <w:r w:rsidR="00002E96" w:rsidRPr="00732541">
        <w:rPr>
          <w:rFonts w:cstheme="minorHAnsi"/>
          <w:bCs/>
        </w:rPr>
        <w:t>.</w:t>
      </w:r>
      <w:r w:rsidRPr="00732541">
        <w:rPr>
          <w:rFonts w:cstheme="minorHAnsi"/>
          <w:bCs/>
        </w:rPr>
        <w:t xml:space="preserve">2, </w:t>
      </w:r>
      <w:r w:rsidR="00002E96" w:rsidRPr="00732541">
        <w:rPr>
          <w:rFonts w:cstheme="minorHAnsi"/>
          <w:bCs/>
        </w:rPr>
        <w:t>co oznacza nie więcej niż jedną wymianę powietrza w gablocie raz na 5 pełnych dób.</w:t>
      </w:r>
    </w:p>
    <w:p w14:paraId="65659699" w14:textId="6C5552D9" w:rsidR="00002E96" w:rsidRPr="00732541" w:rsidRDefault="00002E96" w:rsidP="004F718A">
      <w:pPr>
        <w:pStyle w:val="Akapitzlist"/>
        <w:numPr>
          <w:ilvl w:val="0"/>
          <w:numId w:val="9"/>
        </w:numPr>
        <w:rPr>
          <w:rFonts w:cstheme="minorHAnsi"/>
          <w:bCs/>
        </w:rPr>
      </w:pPr>
      <w:bookmarkStart w:id="6" w:name="_Hlk1837253"/>
      <w:r w:rsidRPr="00732541">
        <w:rPr>
          <w:rFonts w:cstheme="minorHAnsi"/>
          <w:bCs/>
        </w:rPr>
        <w:t xml:space="preserve">Przed przystąpieniem do produkcji gablot należy przygotować </w:t>
      </w:r>
      <w:r w:rsidR="00200BC8" w:rsidRPr="00732541">
        <w:rPr>
          <w:rFonts w:cstheme="minorHAnsi"/>
          <w:bCs/>
        </w:rPr>
        <w:t xml:space="preserve">dokumentację warsztatową </w:t>
      </w:r>
      <w:r w:rsidRPr="00732541">
        <w:rPr>
          <w:rFonts w:cstheme="minorHAnsi"/>
          <w:bCs/>
        </w:rPr>
        <w:t xml:space="preserve">i przekazać Zamawiającemu do akceptacji. </w:t>
      </w:r>
      <w:r w:rsidR="00200BC8" w:rsidRPr="00732541">
        <w:rPr>
          <w:rFonts w:cstheme="minorHAnsi"/>
          <w:bCs/>
        </w:rPr>
        <w:t xml:space="preserve">Dokumentacja warsztatowa </w:t>
      </w:r>
      <w:r w:rsidRPr="00732541">
        <w:rPr>
          <w:rFonts w:cstheme="minorHAnsi"/>
          <w:bCs/>
        </w:rPr>
        <w:t xml:space="preserve">musi zawierać: </w:t>
      </w:r>
    </w:p>
    <w:bookmarkEnd w:id="6"/>
    <w:p w14:paraId="054F48B9" w14:textId="77777777" w:rsidR="00002E96" w:rsidRPr="00732541" w:rsidRDefault="00002E96" w:rsidP="00002E96">
      <w:pPr>
        <w:pStyle w:val="Akapitzlist"/>
        <w:numPr>
          <w:ilvl w:val="1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>Przedstawienie przyjętych materiałów</w:t>
      </w:r>
    </w:p>
    <w:p w14:paraId="4DA58C37" w14:textId="77777777" w:rsidR="00002E96" w:rsidRPr="00732541" w:rsidRDefault="00002E96" w:rsidP="00002E96">
      <w:pPr>
        <w:pStyle w:val="Akapitzlist"/>
        <w:numPr>
          <w:ilvl w:val="1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>Wymiary wewnętrzne i zewnętrzne</w:t>
      </w:r>
    </w:p>
    <w:p w14:paraId="6300FDDC" w14:textId="1CCAE383" w:rsidR="00002E96" w:rsidRPr="00732541" w:rsidRDefault="00002E96" w:rsidP="00002E96">
      <w:pPr>
        <w:pStyle w:val="Akapitzlist"/>
        <w:numPr>
          <w:ilvl w:val="1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Rodzaj okuć i </w:t>
      </w:r>
      <w:r w:rsidR="008462D2" w:rsidRPr="00732541">
        <w:rPr>
          <w:rFonts w:cstheme="minorHAnsi"/>
          <w:bCs/>
        </w:rPr>
        <w:t xml:space="preserve">sposób </w:t>
      </w:r>
      <w:r w:rsidRPr="00732541">
        <w:rPr>
          <w:rFonts w:cstheme="minorHAnsi"/>
          <w:bCs/>
        </w:rPr>
        <w:t>ich montażu</w:t>
      </w:r>
    </w:p>
    <w:p w14:paraId="3817BFA2" w14:textId="77777777" w:rsidR="00002E96" w:rsidRPr="00732541" w:rsidRDefault="00002E96" w:rsidP="00002E96">
      <w:pPr>
        <w:pStyle w:val="Akapitzlist"/>
        <w:numPr>
          <w:ilvl w:val="1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 xml:space="preserve">Dostęp do zamka </w:t>
      </w:r>
    </w:p>
    <w:p w14:paraId="021F741C" w14:textId="77777777" w:rsidR="00002E96" w:rsidRPr="00732541" w:rsidRDefault="00002E96" w:rsidP="00002E96">
      <w:pPr>
        <w:pStyle w:val="Akapitzlist"/>
        <w:numPr>
          <w:ilvl w:val="1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>Dostęp do pojemnika na absorber</w:t>
      </w:r>
    </w:p>
    <w:p w14:paraId="0BB609E0" w14:textId="77777777" w:rsidR="00002E96" w:rsidRPr="00732541" w:rsidRDefault="00002E96" w:rsidP="00002E96">
      <w:pPr>
        <w:pStyle w:val="Akapitzlist"/>
        <w:numPr>
          <w:ilvl w:val="1"/>
          <w:numId w:val="9"/>
        </w:numPr>
        <w:rPr>
          <w:rFonts w:cstheme="minorHAnsi"/>
          <w:bCs/>
        </w:rPr>
      </w:pPr>
      <w:r w:rsidRPr="00732541">
        <w:rPr>
          <w:rFonts w:cstheme="minorHAnsi"/>
          <w:bCs/>
        </w:rPr>
        <w:t>Rewizje techniczne</w:t>
      </w:r>
    </w:p>
    <w:bookmarkEnd w:id="5"/>
    <w:p w14:paraId="70D3F565" w14:textId="3207E56F" w:rsidR="002F1798" w:rsidRPr="00732541" w:rsidRDefault="00763299" w:rsidP="00763299">
      <w:pPr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60288" behindDoc="0" locked="0" layoutInCell="1" allowOverlap="1" wp14:anchorId="49522476" wp14:editId="424D7ED7">
            <wp:simplePos x="0" y="0"/>
            <wp:positionH relativeFrom="column">
              <wp:posOffset>-573088</wp:posOffset>
            </wp:positionH>
            <wp:positionV relativeFrom="paragraph">
              <wp:posOffset>1139509</wp:posOffset>
            </wp:positionV>
            <wp:extent cx="4062252" cy="2134906"/>
            <wp:effectExtent l="0" t="7937" r="6667" b="6668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 t="3186" r="91816" b="88461"/>
                    <a:stretch/>
                  </pic:blipFill>
                  <pic:spPr bwMode="auto">
                    <a:xfrm rot="5400000">
                      <a:off x="0" y="0"/>
                      <a:ext cx="4062252" cy="2134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2541"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58240" behindDoc="0" locked="0" layoutInCell="1" allowOverlap="1" wp14:anchorId="59B3158A" wp14:editId="65F8EFCB">
            <wp:simplePos x="0" y="0"/>
            <wp:positionH relativeFrom="column">
              <wp:posOffset>228600</wp:posOffset>
            </wp:positionH>
            <wp:positionV relativeFrom="paragraph">
              <wp:posOffset>180975</wp:posOffset>
            </wp:positionV>
            <wp:extent cx="3914775" cy="2057400"/>
            <wp:effectExtent l="0" t="0" r="952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 t="3186" r="91816" b="88461"/>
                    <a:stretch/>
                  </pic:blipFill>
                  <pic:spPr bwMode="auto">
                    <a:xfrm>
                      <a:off x="0" y="0"/>
                      <a:ext cx="3952536" cy="2077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2541">
        <w:rPr>
          <w:rFonts w:asciiTheme="minorHAnsi" w:hAnsiTheme="minorHAnsi" w:cstheme="minorHAnsi"/>
          <w:bCs/>
          <w:noProof/>
        </w:rPr>
        <w:drawing>
          <wp:inline distT="0" distB="0" distL="0" distR="0" wp14:anchorId="5E49C57C" wp14:editId="439E5123">
            <wp:extent cx="6645910" cy="4636770"/>
            <wp:effectExtent l="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3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9994E" w14:textId="4FA892DA" w:rsidR="00763299" w:rsidRPr="00732541" w:rsidRDefault="00763299" w:rsidP="00763299">
      <w:pPr>
        <w:jc w:val="center"/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>Rys 2W – Rysunek ideowy gabloty wolnostojącej.</w:t>
      </w:r>
    </w:p>
    <w:p w14:paraId="18CC1BD2" w14:textId="77777777" w:rsidR="003E60BC" w:rsidRPr="00732541" w:rsidRDefault="003E60BC" w:rsidP="00AD415B">
      <w:pPr>
        <w:spacing w:after="40" w:line="260" w:lineRule="atLeast"/>
        <w:jc w:val="both"/>
        <w:rPr>
          <w:rFonts w:asciiTheme="minorHAnsi" w:hAnsiTheme="minorHAnsi" w:cstheme="minorHAnsi"/>
          <w:bCs/>
        </w:rPr>
      </w:pPr>
    </w:p>
    <w:p w14:paraId="4C69EE15" w14:textId="32F49CA5" w:rsidR="00AD415B" w:rsidRDefault="00F212CF" w:rsidP="00AD415B">
      <w:pPr>
        <w:spacing w:after="40" w:line="26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6. </w:t>
      </w:r>
      <w:r w:rsidR="00AD415B" w:rsidRPr="00F212CF">
        <w:rPr>
          <w:rFonts w:asciiTheme="minorHAnsi" w:hAnsiTheme="minorHAnsi" w:cstheme="minorHAnsi"/>
          <w:b/>
        </w:rPr>
        <w:t>Spełnienie wymagań konserwatorskich:</w:t>
      </w:r>
    </w:p>
    <w:p w14:paraId="6D2A41BA" w14:textId="77777777" w:rsidR="00F212CF" w:rsidRPr="00F212CF" w:rsidRDefault="00F212CF" w:rsidP="00AD415B">
      <w:pPr>
        <w:spacing w:after="40" w:line="260" w:lineRule="atLeast"/>
        <w:jc w:val="both"/>
        <w:rPr>
          <w:rFonts w:asciiTheme="minorHAnsi" w:hAnsiTheme="minorHAnsi" w:cstheme="minorHAnsi"/>
          <w:b/>
        </w:rPr>
      </w:pPr>
    </w:p>
    <w:p w14:paraId="16DF67AF" w14:textId="3A00D8EF" w:rsidR="00AD415B" w:rsidRPr="00732541" w:rsidRDefault="00AD415B" w:rsidP="00752D59">
      <w:pPr>
        <w:spacing w:after="40" w:line="260" w:lineRule="atLeast"/>
        <w:jc w:val="both"/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 xml:space="preserve">Wszystkie materiały użyte do budowy przestrzeni wystawienniczej gablot </w:t>
      </w:r>
      <w:r w:rsidR="00752D59" w:rsidRPr="00732541">
        <w:rPr>
          <w:rFonts w:asciiTheme="minorHAnsi" w:hAnsiTheme="minorHAnsi" w:cstheme="minorHAnsi"/>
          <w:bCs/>
        </w:rPr>
        <w:t>po</w:t>
      </w:r>
      <w:r w:rsidRPr="00732541">
        <w:rPr>
          <w:rFonts w:asciiTheme="minorHAnsi" w:hAnsiTheme="minorHAnsi" w:cstheme="minorHAnsi"/>
          <w:bCs/>
        </w:rPr>
        <w:t xml:space="preserve">winny spełniać bezterminowo ODDY TEST. Zastosowane do wykonania gabloty materiały mają gwarantować </w:t>
      </w:r>
      <w:r w:rsidR="00752D59" w:rsidRPr="00732541">
        <w:rPr>
          <w:rFonts w:asciiTheme="minorHAnsi" w:hAnsiTheme="minorHAnsi" w:cstheme="minorHAnsi"/>
          <w:bCs/>
        </w:rPr>
        <w:t xml:space="preserve">bezterminowo </w:t>
      </w:r>
      <w:r w:rsidRPr="00732541">
        <w:rPr>
          <w:rFonts w:asciiTheme="minorHAnsi" w:hAnsiTheme="minorHAnsi" w:cstheme="minorHAnsi"/>
          <w:bCs/>
        </w:rPr>
        <w:t xml:space="preserve">neutralność chemiczną wnętrza gabloty względem zbiorów. Gabloty </w:t>
      </w:r>
      <w:r w:rsidR="00752D59" w:rsidRPr="00732541">
        <w:rPr>
          <w:rFonts w:asciiTheme="minorHAnsi" w:hAnsiTheme="minorHAnsi" w:cstheme="minorHAnsi"/>
          <w:bCs/>
        </w:rPr>
        <w:t xml:space="preserve">mają być </w:t>
      </w:r>
      <w:r w:rsidRPr="00732541">
        <w:rPr>
          <w:rFonts w:asciiTheme="minorHAnsi" w:hAnsiTheme="minorHAnsi" w:cstheme="minorHAnsi"/>
          <w:bCs/>
        </w:rPr>
        <w:t>wykonane w standardach międzynarodowych, dla których jednym z najważniejszych parametrów jest szczelność mierzona współczynnikiem ACD (Air Change per Day). Szczelność gablot powinna być na poziomie ACD &lt; 0.</w:t>
      </w:r>
      <w:r w:rsidR="00715E0E" w:rsidRPr="00732541">
        <w:rPr>
          <w:rFonts w:asciiTheme="minorHAnsi" w:hAnsiTheme="minorHAnsi" w:cstheme="minorHAnsi"/>
          <w:bCs/>
        </w:rPr>
        <w:t>2</w:t>
      </w:r>
      <w:r w:rsidRPr="00732541">
        <w:rPr>
          <w:rFonts w:asciiTheme="minorHAnsi" w:hAnsiTheme="minorHAnsi" w:cstheme="minorHAnsi"/>
          <w:bCs/>
        </w:rPr>
        <w:t xml:space="preserve">, co oznacza nie więcej niż jedną wymianę powietrza w gablocie raz na </w:t>
      </w:r>
      <w:r w:rsidR="00715E0E" w:rsidRPr="00732541">
        <w:rPr>
          <w:rFonts w:asciiTheme="minorHAnsi" w:hAnsiTheme="minorHAnsi" w:cstheme="minorHAnsi"/>
          <w:bCs/>
        </w:rPr>
        <w:t>5</w:t>
      </w:r>
      <w:r w:rsidRPr="00732541">
        <w:rPr>
          <w:rFonts w:asciiTheme="minorHAnsi" w:hAnsiTheme="minorHAnsi" w:cstheme="minorHAnsi"/>
          <w:bCs/>
        </w:rPr>
        <w:t xml:space="preserve"> </w:t>
      </w:r>
      <w:r w:rsidR="00715E0E" w:rsidRPr="00732541">
        <w:rPr>
          <w:rFonts w:asciiTheme="minorHAnsi" w:hAnsiTheme="minorHAnsi" w:cstheme="minorHAnsi"/>
          <w:bCs/>
        </w:rPr>
        <w:t xml:space="preserve">pełnych </w:t>
      </w:r>
      <w:r w:rsidR="002F1798" w:rsidRPr="00732541">
        <w:rPr>
          <w:rFonts w:asciiTheme="minorHAnsi" w:hAnsiTheme="minorHAnsi" w:cstheme="minorHAnsi"/>
          <w:bCs/>
        </w:rPr>
        <w:t>dób</w:t>
      </w:r>
      <w:r w:rsidRPr="00732541">
        <w:rPr>
          <w:rFonts w:asciiTheme="minorHAnsi" w:hAnsiTheme="minorHAnsi" w:cstheme="minorHAnsi"/>
          <w:bCs/>
        </w:rPr>
        <w:t xml:space="preserve">.  Po wykonaniu i zamontowaniu gablot wartość współczynnika ACD powinna być mierzona atestowanym </w:t>
      </w:r>
      <w:r w:rsidRPr="00732541">
        <w:rPr>
          <w:rFonts w:asciiTheme="minorHAnsi" w:hAnsiTheme="minorHAnsi" w:cstheme="minorHAnsi"/>
          <w:bCs/>
        </w:rPr>
        <w:lastRenderedPageBreak/>
        <w:t xml:space="preserve">sprzętem. Dla pomiarów </w:t>
      </w:r>
      <w:r w:rsidR="00980BF6" w:rsidRPr="00732541">
        <w:rPr>
          <w:rFonts w:asciiTheme="minorHAnsi" w:hAnsiTheme="minorHAnsi" w:cstheme="minorHAnsi"/>
          <w:bCs/>
        </w:rPr>
        <w:t xml:space="preserve">powinien być użyty </w:t>
      </w:r>
      <w:r w:rsidRPr="00732541">
        <w:rPr>
          <w:rFonts w:asciiTheme="minorHAnsi" w:hAnsiTheme="minorHAnsi" w:cstheme="minorHAnsi"/>
          <w:bCs/>
        </w:rPr>
        <w:t xml:space="preserve">podtlenek azotu zgodnie z normą PN-EN ISO 12569. W celu utrzymania pożądanej wilgotności w gablocie </w:t>
      </w:r>
      <w:r w:rsidR="00980BF6" w:rsidRPr="00732541">
        <w:rPr>
          <w:rFonts w:asciiTheme="minorHAnsi" w:hAnsiTheme="minorHAnsi" w:cstheme="minorHAnsi"/>
          <w:bCs/>
        </w:rPr>
        <w:t xml:space="preserve">należy </w:t>
      </w:r>
      <w:r w:rsidRPr="00732541">
        <w:rPr>
          <w:rFonts w:asciiTheme="minorHAnsi" w:hAnsiTheme="minorHAnsi" w:cstheme="minorHAnsi"/>
          <w:bCs/>
        </w:rPr>
        <w:t>zamontować zasobni</w:t>
      </w:r>
      <w:r w:rsidR="00037C3A" w:rsidRPr="00732541">
        <w:rPr>
          <w:rFonts w:asciiTheme="minorHAnsi" w:hAnsiTheme="minorHAnsi" w:cstheme="minorHAnsi"/>
          <w:bCs/>
        </w:rPr>
        <w:t xml:space="preserve">k </w:t>
      </w:r>
      <w:r w:rsidR="00980BF6" w:rsidRPr="00732541">
        <w:rPr>
          <w:rFonts w:asciiTheme="minorHAnsi" w:hAnsiTheme="minorHAnsi" w:cstheme="minorHAnsi"/>
          <w:bCs/>
        </w:rPr>
        <w:t xml:space="preserve">wypełniony </w:t>
      </w:r>
      <w:r w:rsidRPr="00732541">
        <w:rPr>
          <w:rFonts w:asciiTheme="minorHAnsi" w:hAnsiTheme="minorHAnsi" w:cstheme="minorHAnsi"/>
          <w:bCs/>
        </w:rPr>
        <w:t>odpowiednio dobranym silikażelem.</w:t>
      </w:r>
    </w:p>
    <w:p w14:paraId="13996611" w14:textId="77777777" w:rsidR="00AD415B" w:rsidRPr="00732541" w:rsidRDefault="00AD415B" w:rsidP="00AD415B">
      <w:pPr>
        <w:spacing w:after="40" w:line="260" w:lineRule="atLeast"/>
        <w:jc w:val="both"/>
        <w:rPr>
          <w:rFonts w:asciiTheme="minorHAnsi" w:hAnsiTheme="minorHAnsi" w:cstheme="minorHAnsi"/>
          <w:bCs/>
        </w:rPr>
      </w:pPr>
    </w:p>
    <w:p w14:paraId="7EED4435" w14:textId="020DDFA8" w:rsidR="00AD415B" w:rsidRDefault="00F212CF" w:rsidP="00AD415B">
      <w:pPr>
        <w:spacing w:after="40" w:line="26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7. </w:t>
      </w:r>
      <w:r w:rsidR="00AD415B" w:rsidRPr="00F212CF">
        <w:rPr>
          <w:rFonts w:asciiTheme="minorHAnsi" w:hAnsiTheme="minorHAnsi" w:cstheme="minorHAnsi"/>
          <w:b/>
        </w:rPr>
        <w:t>Dokumentacja techniczna:</w:t>
      </w:r>
    </w:p>
    <w:p w14:paraId="6949F364" w14:textId="77777777" w:rsidR="00F212CF" w:rsidRPr="00F212CF" w:rsidRDefault="00F212CF" w:rsidP="00AD415B">
      <w:pPr>
        <w:spacing w:after="40" w:line="260" w:lineRule="atLeast"/>
        <w:jc w:val="both"/>
        <w:rPr>
          <w:rFonts w:asciiTheme="minorHAnsi" w:hAnsiTheme="minorHAnsi" w:cstheme="minorHAnsi"/>
          <w:b/>
        </w:rPr>
      </w:pPr>
    </w:p>
    <w:p w14:paraId="6F5EA1A2" w14:textId="426AB056" w:rsidR="00AD415B" w:rsidRPr="00732541" w:rsidRDefault="00AD415B" w:rsidP="008D29B1">
      <w:pPr>
        <w:spacing w:after="40" w:line="260" w:lineRule="atLeast"/>
        <w:jc w:val="both"/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 xml:space="preserve">Wraz z gablotami dostarczone </w:t>
      </w:r>
      <w:r w:rsidR="003C2378" w:rsidRPr="00732541">
        <w:rPr>
          <w:rFonts w:asciiTheme="minorHAnsi" w:hAnsiTheme="minorHAnsi" w:cstheme="minorHAnsi"/>
          <w:bCs/>
        </w:rPr>
        <w:t>po</w:t>
      </w:r>
      <w:r w:rsidRPr="00732541">
        <w:rPr>
          <w:rFonts w:asciiTheme="minorHAnsi" w:hAnsiTheme="minorHAnsi" w:cstheme="minorHAnsi"/>
          <w:bCs/>
        </w:rPr>
        <w:t>winny być następujące dokumenty:</w:t>
      </w:r>
    </w:p>
    <w:p w14:paraId="1C6BB1C6" w14:textId="77777777" w:rsidR="00AD415B" w:rsidRPr="00732541" w:rsidRDefault="00AD415B" w:rsidP="00AD415B">
      <w:pPr>
        <w:numPr>
          <w:ilvl w:val="0"/>
          <w:numId w:val="4"/>
        </w:numPr>
        <w:tabs>
          <w:tab w:val="clear" w:pos="720"/>
        </w:tabs>
        <w:spacing w:after="40" w:line="260" w:lineRule="atLeast"/>
        <w:ind w:left="284" w:hanging="284"/>
        <w:jc w:val="both"/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>deklaracja CE,</w:t>
      </w:r>
    </w:p>
    <w:p w14:paraId="6A8FBE63" w14:textId="77777777" w:rsidR="00AD415B" w:rsidRPr="00732541" w:rsidRDefault="00AD415B" w:rsidP="00AD415B">
      <w:pPr>
        <w:numPr>
          <w:ilvl w:val="0"/>
          <w:numId w:val="4"/>
        </w:numPr>
        <w:tabs>
          <w:tab w:val="clear" w:pos="720"/>
        </w:tabs>
        <w:spacing w:after="40" w:line="260" w:lineRule="atLeast"/>
        <w:ind w:left="284" w:hanging="284"/>
        <w:jc w:val="both"/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>raport z badań elektrycznych gabloty,</w:t>
      </w:r>
    </w:p>
    <w:p w14:paraId="2787C46B" w14:textId="4D8F11F4" w:rsidR="00AD415B" w:rsidRPr="00732541" w:rsidRDefault="00AD415B" w:rsidP="00AD415B">
      <w:pPr>
        <w:numPr>
          <w:ilvl w:val="0"/>
          <w:numId w:val="4"/>
        </w:numPr>
        <w:tabs>
          <w:tab w:val="clear" w:pos="720"/>
        </w:tabs>
        <w:spacing w:after="40" w:line="260" w:lineRule="atLeast"/>
        <w:ind w:left="284" w:hanging="284"/>
        <w:jc w:val="both"/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>instrukcj</w:t>
      </w:r>
      <w:r w:rsidR="003C2378" w:rsidRPr="00732541">
        <w:rPr>
          <w:rFonts w:asciiTheme="minorHAnsi" w:hAnsiTheme="minorHAnsi" w:cstheme="minorHAnsi"/>
          <w:bCs/>
        </w:rPr>
        <w:t>a</w:t>
      </w:r>
      <w:r w:rsidRPr="00732541">
        <w:rPr>
          <w:rFonts w:asciiTheme="minorHAnsi" w:hAnsiTheme="minorHAnsi" w:cstheme="minorHAnsi"/>
          <w:bCs/>
        </w:rPr>
        <w:t xml:space="preserve"> obsługi,</w:t>
      </w:r>
    </w:p>
    <w:p w14:paraId="1E86F84B" w14:textId="77777777" w:rsidR="00AD415B" w:rsidRPr="00732541" w:rsidRDefault="00AD415B" w:rsidP="00AD415B">
      <w:pPr>
        <w:numPr>
          <w:ilvl w:val="0"/>
          <w:numId w:val="4"/>
        </w:numPr>
        <w:tabs>
          <w:tab w:val="clear" w:pos="720"/>
        </w:tabs>
        <w:spacing w:after="40" w:line="260" w:lineRule="atLeast"/>
        <w:ind w:left="284" w:hanging="284"/>
        <w:jc w:val="both"/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>Dokumentacja Techniczno - Ruchowa (DTR)</w:t>
      </w:r>
    </w:p>
    <w:p w14:paraId="3AF00A4C" w14:textId="77777777" w:rsidR="00AD415B" w:rsidRPr="00732541" w:rsidRDefault="00AD415B" w:rsidP="00AD415B">
      <w:pPr>
        <w:numPr>
          <w:ilvl w:val="0"/>
          <w:numId w:val="4"/>
        </w:numPr>
        <w:tabs>
          <w:tab w:val="clear" w:pos="720"/>
        </w:tabs>
        <w:spacing w:after="40" w:line="260" w:lineRule="atLeast"/>
        <w:ind w:left="284" w:hanging="284"/>
        <w:jc w:val="both"/>
        <w:rPr>
          <w:rFonts w:asciiTheme="minorHAnsi" w:hAnsiTheme="minorHAnsi" w:cstheme="minorHAnsi"/>
          <w:bCs/>
        </w:rPr>
      </w:pPr>
      <w:r w:rsidRPr="00732541">
        <w:rPr>
          <w:rFonts w:asciiTheme="minorHAnsi" w:hAnsiTheme="minorHAnsi" w:cstheme="minorHAnsi"/>
          <w:bCs/>
        </w:rPr>
        <w:t>Dokumentacja  projektowa wykonawcza</w:t>
      </w:r>
    </w:p>
    <w:p w14:paraId="25C7D02A" w14:textId="729A8D85" w:rsidR="00AD415B" w:rsidRPr="00732541" w:rsidRDefault="00AD415B" w:rsidP="00AD415B">
      <w:pPr>
        <w:rPr>
          <w:rFonts w:asciiTheme="minorHAnsi" w:hAnsiTheme="minorHAnsi" w:cstheme="minorHAnsi"/>
          <w:bCs/>
        </w:rPr>
      </w:pPr>
    </w:p>
    <w:p w14:paraId="681D7BA8" w14:textId="69F8A294" w:rsidR="00164B95" w:rsidRPr="00732541" w:rsidRDefault="00164B95" w:rsidP="00AD415B">
      <w:pPr>
        <w:rPr>
          <w:rFonts w:asciiTheme="minorHAnsi" w:hAnsiTheme="minorHAnsi" w:cstheme="minorHAnsi"/>
          <w:bCs/>
        </w:rPr>
      </w:pPr>
    </w:p>
    <w:sectPr w:rsidR="00164B95" w:rsidRPr="00732541" w:rsidSect="008F5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48F8" w14:textId="77777777" w:rsidR="006359FD" w:rsidRDefault="006359FD" w:rsidP="0076408A">
      <w:r>
        <w:separator/>
      </w:r>
    </w:p>
  </w:endnote>
  <w:endnote w:type="continuationSeparator" w:id="0">
    <w:p w14:paraId="0EE9DB09" w14:textId="77777777" w:rsidR="006359FD" w:rsidRDefault="006359FD" w:rsidP="0076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1EDF8" w14:textId="77777777" w:rsidR="006359FD" w:rsidRDefault="006359FD" w:rsidP="0076408A">
      <w:r>
        <w:separator/>
      </w:r>
    </w:p>
  </w:footnote>
  <w:footnote w:type="continuationSeparator" w:id="0">
    <w:p w14:paraId="359E5991" w14:textId="77777777" w:rsidR="006359FD" w:rsidRDefault="006359FD" w:rsidP="0076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A215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E8619A"/>
    <w:multiLevelType w:val="hybridMultilevel"/>
    <w:tmpl w:val="64BE587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2A6CC3"/>
    <w:multiLevelType w:val="hybridMultilevel"/>
    <w:tmpl w:val="64BE587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6990FD4"/>
    <w:multiLevelType w:val="hybridMultilevel"/>
    <w:tmpl w:val="B470C6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8846CD"/>
    <w:multiLevelType w:val="hybridMultilevel"/>
    <w:tmpl w:val="F0942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77D60"/>
    <w:multiLevelType w:val="hybridMultilevel"/>
    <w:tmpl w:val="2DA0C2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AC06B6"/>
    <w:multiLevelType w:val="multilevel"/>
    <w:tmpl w:val="E41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b w:val="0"/>
      </w:rPr>
    </w:lvl>
    <w:lvl w:ilvl="3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0F0B76"/>
    <w:multiLevelType w:val="hybridMultilevel"/>
    <w:tmpl w:val="C486D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869C1"/>
    <w:multiLevelType w:val="multilevel"/>
    <w:tmpl w:val="7400C7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4071AE"/>
    <w:multiLevelType w:val="hybridMultilevel"/>
    <w:tmpl w:val="F13C2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A1FED"/>
    <w:multiLevelType w:val="hybridMultilevel"/>
    <w:tmpl w:val="D5DE4B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F762BE"/>
    <w:multiLevelType w:val="hybridMultilevel"/>
    <w:tmpl w:val="B2E47C6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01">
      <w:start w:val="1"/>
      <w:numFmt w:val="bullet"/>
      <w:lvlText w:val=""/>
      <w:lvlJc w:val="left"/>
      <w:pPr>
        <w:ind w:left="36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FB10AD4"/>
    <w:multiLevelType w:val="hybridMultilevel"/>
    <w:tmpl w:val="4816EB9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F550D"/>
    <w:multiLevelType w:val="hybridMultilevel"/>
    <w:tmpl w:val="1D00D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70ACB"/>
    <w:multiLevelType w:val="hybridMultilevel"/>
    <w:tmpl w:val="E332A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749C3"/>
    <w:multiLevelType w:val="hybridMultilevel"/>
    <w:tmpl w:val="0B6444A4"/>
    <w:lvl w:ilvl="0" w:tplc="3F1A2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075C8"/>
    <w:multiLevelType w:val="multilevel"/>
    <w:tmpl w:val="302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7232E3"/>
    <w:multiLevelType w:val="hybridMultilevel"/>
    <w:tmpl w:val="80FCB86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6617E"/>
    <w:multiLevelType w:val="hybridMultilevel"/>
    <w:tmpl w:val="E1AAC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7"/>
  </w:num>
  <w:num w:numId="5">
    <w:abstractNumId w:val="6"/>
  </w:num>
  <w:num w:numId="6">
    <w:abstractNumId w:val="11"/>
  </w:num>
  <w:num w:numId="7">
    <w:abstractNumId w:val="14"/>
  </w:num>
  <w:num w:numId="8">
    <w:abstractNumId w:val="19"/>
  </w:num>
  <w:num w:numId="9">
    <w:abstractNumId w:val="18"/>
  </w:num>
  <w:num w:numId="10">
    <w:abstractNumId w:val="10"/>
  </w:num>
  <w:num w:numId="11">
    <w:abstractNumId w:val="8"/>
  </w:num>
  <w:num w:numId="12">
    <w:abstractNumId w:val="4"/>
  </w:num>
  <w:num w:numId="13">
    <w:abstractNumId w:val="15"/>
  </w:num>
  <w:num w:numId="14">
    <w:abstractNumId w:val="3"/>
  </w:num>
  <w:num w:numId="15">
    <w:abstractNumId w:val="12"/>
  </w:num>
  <w:num w:numId="16">
    <w:abstractNumId w:val="2"/>
  </w:num>
  <w:num w:numId="17">
    <w:abstractNumId w:val="0"/>
  </w:num>
  <w:num w:numId="18">
    <w:abstractNumId w:val="13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86"/>
    <w:rsid w:val="00002E96"/>
    <w:rsid w:val="000274C8"/>
    <w:rsid w:val="0003254D"/>
    <w:rsid w:val="0003315D"/>
    <w:rsid w:val="00035113"/>
    <w:rsid w:val="00037C3A"/>
    <w:rsid w:val="00042136"/>
    <w:rsid w:val="0005543A"/>
    <w:rsid w:val="00060196"/>
    <w:rsid w:val="00067DFF"/>
    <w:rsid w:val="00087EA5"/>
    <w:rsid w:val="00090902"/>
    <w:rsid w:val="000A231E"/>
    <w:rsid w:val="000B0511"/>
    <w:rsid w:val="000B2F67"/>
    <w:rsid w:val="00132010"/>
    <w:rsid w:val="001345BC"/>
    <w:rsid w:val="00146F32"/>
    <w:rsid w:val="00152435"/>
    <w:rsid w:val="00164B95"/>
    <w:rsid w:val="00165E37"/>
    <w:rsid w:val="00174A48"/>
    <w:rsid w:val="00197748"/>
    <w:rsid w:val="001D32C9"/>
    <w:rsid w:val="00200BC8"/>
    <w:rsid w:val="0021085E"/>
    <w:rsid w:val="00216618"/>
    <w:rsid w:val="00226A29"/>
    <w:rsid w:val="00244C70"/>
    <w:rsid w:val="00251B6E"/>
    <w:rsid w:val="00251F0B"/>
    <w:rsid w:val="002536B4"/>
    <w:rsid w:val="00285BD7"/>
    <w:rsid w:val="00293610"/>
    <w:rsid w:val="00295628"/>
    <w:rsid w:val="002F1798"/>
    <w:rsid w:val="00325375"/>
    <w:rsid w:val="00332A72"/>
    <w:rsid w:val="00336EC1"/>
    <w:rsid w:val="003379C7"/>
    <w:rsid w:val="003B5914"/>
    <w:rsid w:val="003B6487"/>
    <w:rsid w:val="003C2378"/>
    <w:rsid w:val="003E53F0"/>
    <w:rsid w:val="003E60BC"/>
    <w:rsid w:val="003E780F"/>
    <w:rsid w:val="003F579E"/>
    <w:rsid w:val="00430402"/>
    <w:rsid w:val="00446A3E"/>
    <w:rsid w:val="004B48CC"/>
    <w:rsid w:val="004D1982"/>
    <w:rsid w:val="00503726"/>
    <w:rsid w:val="0053377A"/>
    <w:rsid w:val="0058770B"/>
    <w:rsid w:val="005A22A5"/>
    <w:rsid w:val="005B2561"/>
    <w:rsid w:val="005B3D42"/>
    <w:rsid w:val="005E4D85"/>
    <w:rsid w:val="005F6BB9"/>
    <w:rsid w:val="00614EB6"/>
    <w:rsid w:val="0062545C"/>
    <w:rsid w:val="0063209A"/>
    <w:rsid w:val="0063495A"/>
    <w:rsid w:val="006359FD"/>
    <w:rsid w:val="00654C4F"/>
    <w:rsid w:val="00670142"/>
    <w:rsid w:val="006713A0"/>
    <w:rsid w:val="006A4A20"/>
    <w:rsid w:val="006B25D1"/>
    <w:rsid w:val="006B496C"/>
    <w:rsid w:val="006B7CE4"/>
    <w:rsid w:val="006D5FF8"/>
    <w:rsid w:val="006D70A8"/>
    <w:rsid w:val="006E2A7F"/>
    <w:rsid w:val="006F160B"/>
    <w:rsid w:val="006F3DC3"/>
    <w:rsid w:val="006F78E0"/>
    <w:rsid w:val="00700315"/>
    <w:rsid w:val="007031EF"/>
    <w:rsid w:val="00712E93"/>
    <w:rsid w:val="00712EF2"/>
    <w:rsid w:val="00715E0E"/>
    <w:rsid w:val="0072331D"/>
    <w:rsid w:val="007246AB"/>
    <w:rsid w:val="00732541"/>
    <w:rsid w:val="00740AE7"/>
    <w:rsid w:val="00741259"/>
    <w:rsid w:val="00752D59"/>
    <w:rsid w:val="00760199"/>
    <w:rsid w:val="00763299"/>
    <w:rsid w:val="0076408A"/>
    <w:rsid w:val="00765235"/>
    <w:rsid w:val="00785B33"/>
    <w:rsid w:val="007A1089"/>
    <w:rsid w:val="007E4C75"/>
    <w:rsid w:val="0082672A"/>
    <w:rsid w:val="008462D2"/>
    <w:rsid w:val="0085148F"/>
    <w:rsid w:val="008641E9"/>
    <w:rsid w:val="00887340"/>
    <w:rsid w:val="008B0DCF"/>
    <w:rsid w:val="008C6CA4"/>
    <w:rsid w:val="008D29B1"/>
    <w:rsid w:val="008D41FD"/>
    <w:rsid w:val="008D716D"/>
    <w:rsid w:val="008F5AF1"/>
    <w:rsid w:val="00924DDB"/>
    <w:rsid w:val="00926C87"/>
    <w:rsid w:val="009272AB"/>
    <w:rsid w:val="009542F2"/>
    <w:rsid w:val="00980BF6"/>
    <w:rsid w:val="00997FBE"/>
    <w:rsid w:val="009A195B"/>
    <w:rsid w:val="009B4221"/>
    <w:rsid w:val="009D3CA8"/>
    <w:rsid w:val="009E1220"/>
    <w:rsid w:val="009F546B"/>
    <w:rsid w:val="00A12000"/>
    <w:rsid w:val="00A27603"/>
    <w:rsid w:val="00A54242"/>
    <w:rsid w:val="00A60BF0"/>
    <w:rsid w:val="00A85BE0"/>
    <w:rsid w:val="00AA19BD"/>
    <w:rsid w:val="00AC3B04"/>
    <w:rsid w:val="00AC6596"/>
    <w:rsid w:val="00AD415B"/>
    <w:rsid w:val="00AE0869"/>
    <w:rsid w:val="00AF3F37"/>
    <w:rsid w:val="00B4285C"/>
    <w:rsid w:val="00B71070"/>
    <w:rsid w:val="00BD776F"/>
    <w:rsid w:val="00BF0489"/>
    <w:rsid w:val="00BF105C"/>
    <w:rsid w:val="00BF273F"/>
    <w:rsid w:val="00C056B7"/>
    <w:rsid w:val="00C14A44"/>
    <w:rsid w:val="00C210DF"/>
    <w:rsid w:val="00C46CFF"/>
    <w:rsid w:val="00C64C12"/>
    <w:rsid w:val="00CE3679"/>
    <w:rsid w:val="00CE3927"/>
    <w:rsid w:val="00CE4651"/>
    <w:rsid w:val="00D20DA5"/>
    <w:rsid w:val="00D3028E"/>
    <w:rsid w:val="00D6516B"/>
    <w:rsid w:val="00D674ED"/>
    <w:rsid w:val="00D71F97"/>
    <w:rsid w:val="00D866E3"/>
    <w:rsid w:val="00D94505"/>
    <w:rsid w:val="00DA35F9"/>
    <w:rsid w:val="00DA584A"/>
    <w:rsid w:val="00E04164"/>
    <w:rsid w:val="00E14D94"/>
    <w:rsid w:val="00E26FA9"/>
    <w:rsid w:val="00E47D74"/>
    <w:rsid w:val="00E50CD5"/>
    <w:rsid w:val="00E55790"/>
    <w:rsid w:val="00E64097"/>
    <w:rsid w:val="00E91EA5"/>
    <w:rsid w:val="00EB4D57"/>
    <w:rsid w:val="00EC1DC4"/>
    <w:rsid w:val="00EC5286"/>
    <w:rsid w:val="00EE1BA2"/>
    <w:rsid w:val="00EE3E2F"/>
    <w:rsid w:val="00F047ED"/>
    <w:rsid w:val="00F20FC7"/>
    <w:rsid w:val="00F212CF"/>
    <w:rsid w:val="00F27105"/>
    <w:rsid w:val="00F509F2"/>
    <w:rsid w:val="00F65638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1050"/>
  <w15:chartTrackingRefBased/>
  <w15:docId w15:val="{3AD37A21-A4BA-4697-B86F-14CC23FD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28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15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764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08A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64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08A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5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51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511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5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51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01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196"/>
    <w:rPr>
      <w:color w:val="605E5C"/>
      <w:shd w:val="clear" w:color="auto" w:fill="E1DFDD"/>
    </w:rPr>
  </w:style>
  <w:style w:type="character" w:styleId="Pogrubienie">
    <w:name w:val="Strong"/>
    <w:qFormat/>
    <w:rsid w:val="00060196"/>
    <w:rPr>
      <w:b/>
      <w:bCs/>
    </w:rPr>
  </w:style>
  <w:style w:type="paragraph" w:styleId="Tekstpodstawowy">
    <w:name w:val="Body Text"/>
    <w:basedOn w:val="Normalny"/>
    <w:link w:val="TekstpodstawowyZnak"/>
    <w:rsid w:val="00060196"/>
    <w:pPr>
      <w:suppressAutoHyphens/>
      <w:spacing w:line="276" w:lineRule="auto"/>
    </w:pPr>
    <w:rPr>
      <w:rFonts w:eastAsia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60196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8570-23B5-45CA-ABA1-BFA469E4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1537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Piatkowski</dc:creator>
  <cp:keywords/>
  <dc:description/>
  <cp:lastModifiedBy>Tomasz Kusior</cp:lastModifiedBy>
  <cp:revision>21</cp:revision>
  <cp:lastPrinted>2019-07-10T07:13:00Z</cp:lastPrinted>
  <dcterms:created xsi:type="dcterms:W3CDTF">2019-07-09T07:10:00Z</dcterms:created>
  <dcterms:modified xsi:type="dcterms:W3CDTF">2019-07-15T08:05:00Z</dcterms:modified>
</cp:coreProperties>
</file>